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8F0F" w14:textId="27F6EB8A" w:rsidR="008C465F" w:rsidRPr="00C61D1B" w:rsidRDefault="008C465F" w:rsidP="008C465F">
      <w:pPr>
        <w:pStyle w:val="Heading1"/>
        <w:rPr>
          <w:szCs w:val="24"/>
        </w:rPr>
      </w:pPr>
      <w:bookmarkStart w:id="0" w:name="_GoBack"/>
      <w:bookmarkEnd w:id="0"/>
      <w:r w:rsidRPr="00C61D1B">
        <w:rPr>
          <w:szCs w:val="24"/>
        </w:rPr>
        <w:t xml:space="preserve">Procedural Standard </w:t>
      </w:r>
      <w:r>
        <w:rPr>
          <w:szCs w:val="24"/>
        </w:rPr>
        <w:t>1</w:t>
      </w:r>
      <w:r w:rsidR="00BF1258">
        <w:rPr>
          <w:szCs w:val="24"/>
        </w:rPr>
        <w:t>6</w:t>
      </w:r>
      <w:r w:rsidRPr="00C61D1B">
        <w:rPr>
          <w:szCs w:val="24"/>
        </w:rPr>
        <w:t>-</w:t>
      </w:r>
      <w:r w:rsidR="00B3182D">
        <w:rPr>
          <w:szCs w:val="24"/>
        </w:rPr>
        <w:t>2</w:t>
      </w:r>
    </w:p>
    <w:p w14:paraId="515C20BE" w14:textId="5A9E310D" w:rsidR="008C465F" w:rsidRPr="00C61D1B" w:rsidRDefault="008C465F" w:rsidP="008C465F">
      <w:pPr>
        <w:ind w:left="1440" w:right="-1080" w:firstLine="90"/>
        <w:rPr>
          <w:b/>
          <w:sz w:val="24"/>
          <w:szCs w:val="24"/>
        </w:rPr>
      </w:pP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="004A2BA3">
        <w:rPr>
          <w:rFonts w:ascii="Comic Sans MS" w:hAnsi="Comic Sans MS"/>
          <w:sz w:val="24"/>
          <w:szCs w:val="24"/>
        </w:rPr>
        <w:tab/>
      </w:r>
      <w:r w:rsidR="005F177A">
        <w:rPr>
          <w:rFonts w:ascii="Comic Sans MS" w:hAnsi="Comic Sans MS"/>
          <w:b/>
          <w:sz w:val="24"/>
          <w:szCs w:val="24"/>
        </w:rPr>
        <w:t>August</w:t>
      </w:r>
      <w:r w:rsidR="00F22F7C">
        <w:rPr>
          <w:rFonts w:ascii="Comic Sans MS" w:hAnsi="Comic Sans MS"/>
          <w:b/>
          <w:sz w:val="24"/>
          <w:szCs w:val="24"/>
        </w:rPr>
        <w:t xml:space="preserve"> </w:t>
      </w:r>
      <w:r w:rsidR="00607F59">
        <w:rPr>
          <w:rFonts w:ascii="Comic Sans MS" w:hAnsi="Comic Sans MS"/>
          <w:b/>
          <w:sz w:val="24"/>
          <w:szCs w:val="24"/>
        </w:rPr>
        <w:t>5</w:t>
      </w:r>
      <w:r w:rsidR="00F22F7C">
        <w:rPr>
          <w:rFonts w:ascii="Comic Sans MS" w:hAnsi="Comic Sans MS"/>
          <w:b/>
          <w:sz w:val="24"/>
          <w:szCs w:val="24"/>
        </w:rPr>
        <w:t>, 2019</w:t>
      </w:r>
    </w:p>
    <w:p w14:paraId="5661013F" w14:textId="77777777" w:rsidR="008C465F" w:rsidRPr="00C61D1B" w:rsidRDefault="008C465F" w:rsidP="008C465F">
      <w:pPr>
        <w:ind w:left="1440"/>
        <w:rPr>
          <w:sz w:val="24"/>
          <w:szCs w:val="24"/>
        </w:rPr>
      </w:pPr>
    </w:p>
    <w:p w14:paraId="6279C120" w14:textId="77777777" w:rsidR="008C465F" w:rsidRPr="00BB6A0D" w:rsidRDefault="008C465F" w:rsidP="008C465F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TO:</w:t>
      </w:r>
      <w:r w:rsidR="00A87D98">
        <w:rPr>
          <w:sz w:val="24"/>
          <w:szCs w:val="24"/>
        </w:rPr>
        <w:t xml:space="preserve"> </w:t>
      </w:r>
      <w:r w:rsidRPr="00BB6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 w:rsidR="00BF1258">
        <w:rPr>
          <w:sz w:val="24"/>
          <w:szCs w:val="24"/>
        </w:rPr>
        <w:t>Staff</w:t>
      </w:r>
    </w:p>
    <w:p w14:paraId="73F2D066" w14:textId="77777777" w:rsidR="008C465F" w:rsidRPr="00BB6A0D" w:rsidRDefault="008C465F" w:rsidP="008C465F">
      <w:pPr>
        <w:ind w:left="1440" w:right="-1080"/>
        <w:rPr>
          <w:sz w:val="24"/>
          <w:szCs w:val="24"/>
        </w:rPr>
      </w:pPr>
    </w:p>
    <w:p w14:paraId="4531C8D9" w14:textId="2BC7CD29" w:rsidR="008C465F" w:rsidRPr="00BB6A0D" w:rsidRDefault="008C465F" w:rsidP="008C465F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FR:</w:t>
      </w:r>
      <w:r w:rsidRPr="00BB6A0D">
        <w:rPr>
          <w:sz w:val="24"/>
          <w:szCs w:val="24"/>
        </w:rPr>
        <w:tab/>
      </w:r>
      <w:r w:rsidR="00181DD6">
        <w:rPr>
          <w:sz w:val="24"/>
          <w:szCs w:val="24"/>
        </w:rPr>
        <w:t>Frank Joyce</w:t>
      </w:r>
      <w:r w:rsidR="00360E96">
        <w:rPr>
          <w:sz w:val="24"/>
          <w:szCs w:val="24"/>
        </w:rPr>
        <w:t xml:space="preserve"> RN</w:t>
      </w:r>
      <w:r w:rsidR="00BF5524">
        <w:rPr>
          <w:sz w:val="24"/>
          <w:szCs w:val="24"/>
        </w:rPr>
        <w:t>,  Senior Director</w:t>
      </w:r>
      <w:r w:rsidRPr="00BB6A0D">
        <w:rPr>
          <w:sz w:val="24"/>
          <w:szCs w:val="24"/>
        </w:rPr>
        <w:t>, Disability Evaluation Services (DES)</w:t>
      </w:r>
    </w:p>
    <w:p w14:paraId="21F306F9" w14:textId="77777777" w:rsidR="008C465F" w:rsidRPr="00BB6A0D" w:rsidRDefault="008C465F" w:rsidP="008C465F">
      <w:pPr>
        <w:ind w:left="1440" w:right="-1080"/>
        <w:rPr>
          <w:sz w:val="24"/>
          <w:szCs w:val="24"/>
        </w:rPr>
      </w:pPr>
    </w:p>
    <w:p w14:paraId="035F45A5" w14:textId="1FDB2B04" w:rsidR="008C465F" w:rsidRPr="00BB6A0D" w:rsidRDefault="008C465F" w:rsidP="00BF5524">
      <w:pPr>
        <w:ind w:left="1620" w:right="-1080"/>
        <w:rPr>
          <w:sz w:val="24"/>
          <w:szCs w:val="24"/>
        </w:rPr>
      </w:pPr>
      <w:r w:rsidRPr="00BB6A0D">
        <w:rPr>
          <w:sz w:val="24"/>
          <w:szCs w:val="24"/>
        </w:rPr>
        <w:t xml:space="preserve">BY:   </w:t>
      </w:r>
      <w:r w:rsidR="00BF5524">
        <w:rPr>
          <w:sz w:val="24"/>
          <w:szCs w:val="24"/>
        </w:rPr>
        <w:t>Sherry Campanelli, Program Compliance Manage</w:t>
      </w:r>
      <w:r w:rsidR="00D609B0">
        <w:rPr>
          <w:sz w:val="24"/>
          <w:szCs w:val="24"/>
        </w:rPr>
        <w:t>r, DES</w:t>
      </w:r>
    </w:p>
    <w:p w14:paraId="78FF6D7B" w14:textId="77777777" w:rsidR="008C465F" w:rsidRPr="00BB6A0D" w:rsidRDefault="008C465F" w:rsidP="008C465F">
      <w:pPr>
        <w:ind w:left="1440" w:right="-1080"/>
        <w:rPr>
          <w:sz w:val="24"/>
          <w:szCs w:val="24"/>
        </w:rPr>
      </w:pPr>
    </w:p>
    <w:p w14:paraId="7A17FDC4" w14:textId="77777777" w:rsidR="008C465F" w:rsidRPr="00BB6A0D" w:rsidRDefault="008C465F" w:rsidP="008C465F">
      <w:pPr>
        <w:ind w:left="1620" w:right="-900"/>
        <w:rPr>
          <w:b/>
          <w:sz w:val="24"/>
          <w:szCs w:val="24"/>
        </w:rPr>
      </w:pPr>
      <w:r w:rsidRPr="00BB6A0D">
        <w:rPr>
          <w:b/>
          <w:sz w:val="24"/>
          <w:szCs w:val="24"/>
        </w:rPr>
        <w:t>RE:</w:t>
      </w:r>
      <w:r w:rsidRPr="00BB6A0D">
        <w:rPr>
          <w:b/>
          <w:sz w:val="24"/>
          <w:szCs w:val="24"/>
        </w:rPr>
        <w:tab/>
      </w:r>
      <w:r w:rsidR="00BF1258">
        <w:rPr>
          <w:b/>
          <w:sz w:val="24"/>
          <w:szCs w:val="24"/>
        </w:rPr>
        <w:t>Request for Access to Personal Health Care Information</w:t>
      </w:r>
      <w:r w:rsidR="00A07944">
        <w:rPr>
          <w:b/>
          <w:sz w:val="24"/>
          <w:szCs w:val="24"/>
        </w:rPr>
        <w:t xml:space="preserve"> (PHI)</w:t>
      </w:r>
      <w:r w:rsidR="00BF1258">
        <w:rPr>
          <w:b/>
          <w:sz w:val="24"/>
          <w:szCs w:val="24"/>
        </w:rPr>
        <w:t>:  DES Authorization to Release Information</w:t>
      </w:r>
    </w:p>
    <w:p w14:paraId="056F5299" w14:textId="77777777" w:rsidR="008C465F" w:rsidRPr="00BB6A0D" w:rsidRDefault="008C465F" w:rsidP="008C465F">
      <w:pPr>
        <w:pBdr>
          <w:bottom w:val="single" w:sz="12" w:space="1" w:color="auto"/>
        </w:pBdr>
        <w:ind w:left="1620" w:right="-1080"/>
        <w:rPr>
          <w:sz w:val="24"/>
          <w:szCs w:val="24"/>
        </w:rPr>
      </w:pPr>
    </w:p>
    <w:p w14:paraId="1AC07DF1" w14:textId="77777777" w:rsidR="008C465F" w:rsidRPr="00BB6A0D" w:rsidRDefault="008C465F" w:rsidP="008C465F">
      <w:pPr>
        <w:ind w:left="1440" w:right="-1080"/>
        <w:rPr>
          <w:b/>
          <w:sz w:val="24"/>
          <w:szCs w:val="24"/>
        </w:rPr>
      </w:pPr>
    </w:p>
    <w:p w14:paraId="65AC4F87" w14:textId="1B39CAF4" w:rsidR="008C465F" w:rsidRDefault="00BF1258" w:rsidP="003145D7">
      <w:pPr>
        <w:pStyle w:val="NormalWeb"/>
        <w:shd w:val="clear" w:color="auto" w:fill="FFFFFF"/>
        <w:tabs>
          <w:tab w:val="left" w:pos="90"/>
          <w:tab w:val="left" w:pos="1620"/>
        </w:tabs>
        <w:ind w:left="1620" w:hanging="1620"/>
        <w:rPr>
          <w:lang w:val="en"/>
        </w:rPr>
      </w:pPr>
      <w:r>
        <w:rPr>
          <w:b/>
        </w:rPr>
        <w:t>Background</w:t>
      </w:r>
      <w:r w:rsidRPr="00E7797D">
        <w:rPr>
          <w:b/>
        </w:rPr>
        <w:t>:</w:t>
      </w:r>
      <w:r w:rsidR="008C465F" w:rsidRPr="00E7797D">
        <w:t xml:space="preserve"> </w:t>
      </w:r>
      <w:r w:rsidR="00E7797D">
        <w:t xml:space="preserve"> </w:t>
      </w:r>
      <w:r w:rsidR="003145D7">
        <w:t xml:space="preserve">  </w:t>
      </w:r>
      <w:r w:rsidR="001F64E4">
        <w:t xml:space="preserve">Except for psychotherapy notes and information compiled in reasonable anticipation of, or for use in, a civil, criminal, or administrative action or proceeding, </w:t>
      </w:r>
      <w:r w:rsidR="001F64E4">
        <w:rPr>
          <w:lang w:val="en"/>
        </w:rPr>
        <w:t>t</w:t>
      </w:r>
      <w:r w:rsidR="003C3AAA" w:rsidRPr="003C3AAA">
        <w:rPr>
          <w:lang w:val="en"/>
        </w:rPr>
        <w:t>he HIPAA Privacy Rule</w:t>
      </w:r>
      <w:r w:rsidR="00FE18C5">
        <w:rPr>
          <w:lang w:val="en"/>
        </w:rPr>
        <w:t xml:space="preserve"> (Privacy Rule)</w:t>
      </w:r>
      <w:r w:rsidR="003C3AAA" w:rsidRPr="003C3AAA">
        <w:rPr>
          <w:lang w:val="en"/>
        </w:rPr>
        <w:t xml:space="preserve"> requires covered entities </w:t>
      </w:r>
      <w:r w:rsidR="003C3AAA" w:rsidRPr="003145D7">
        <w:rPr>
          <w:i/>
          <w:lang w:val="en"/>
        </w:rPr>
        <w:t>and their business associates</w:t>
      </w:r>
      <w:r w:rsidR="003C3AAA">
        <w:rPr>
          <w:lang w:val="en"/>
        </w:rPr>
        <w:t xml:space="preserve"> </w:t>
      </w:r>
      <w:r w:rsidR="003C3AAA" w:rsidRPr="003C3AAA">
        <w:rPr>
          <w:lang w:val="en"/>
        </w:rPr>
        <w:t>to provide individuals access to the</w:t>
      </w:r>
      <w:r w:rsidR="009E0C2E">
        <w:rPr>
          <w:lang w:val="en"/>
        </w:rPr>
        <w:t>ir</w:t>
      </w:r>
      <w:r w:rsidR="003C3AAA" w:rsidRPr="003C3AAA">
        <w:rPr>
          <w:lang w:val="en"/>
        </w:rPr>
        <w:t xml:space="preserve"> protected health information</w:t>
      </w:r>
      <w:r w:rsidR="003C3AAA">
        <w:rPr>
          <w:lang w:val="en"/>
        </w:rPr>
        <w:t xml:space="preserve"> </w:t>
      </w:r>
      <w:r w:rsidR="003C3AAA" w:rsidRPr="003C3AAA">
        <w:rPr>
          <w:lang w:val="en"/>
        </w:rPr>
        <w:t xml:space="preserve">(PHI) </w:t>
      </w:r>
      <w:r w:rsidR="00CD0F39">
        <w:rPr>
          <w:lang w:val="en"/>
        </w:rPr>
        <w:t xml:space="preserve">that is kept </w:t>
      </w:r>
      <w:r w:rsidR="003C3AAA" w:rsidRPr="003C3AAA">
        <w:rPr>
          <w:lang w:val="en"/>
        </w:rPr>
        <w:t xml:space="preserve">in </w:t>
      </w:r>
      <w:r w:rsidR="000C3512">
        <w:rPr>
          <w:lang w:val="en"/>
        </w:rPr>
        <w:t>a</w:t>
      </w:r>
      <w:r w:rsidR="003C3AAA" w:rsidRPr="003C3AAA">
        <w:rPr>
          <w:lang w:val="en"/>
        </w:rPr>
        <w:t xml:space="preserve"> “designated record set”.</w:t>
      </w:r>
      <w:r w:rsidR="00DD3349">
        <w:rPr>
          <w:lang w:val="en"/>
        </w:rPr>
        <w:t xml:space="preserve">  A designated record set is a group of records maintained for a covered entity that contains medical records, billing records,</w:t>
      </w:r>
      <w:r w:rsidR="00A8413C">
        <w:rPr>
          <w:lang w:val="en"/>
        </w:rPr>
        <w:t xml:space="preserve"> and enrollment, payment, claims adjudication, and </w:t>
      </w:r>
      <w:r w:rsidR="00DD3349">
        <w:rPr>
          <w:lang w:val="en"/>
        </w:rPr>
        <w:t>case management reco</w:t>
      </w:r>
      <w:r w:rsidR="00A8413C">
        <w:rPr>
          <w:lang w:val="en"/>
        </w:rPr>
        <w:t>rd systems</w:t>
      </w:r>
      <w:r w:rsidR="000C3512">
        <w:rPr>
          <w:lang w:val="en"/>
        </w:rPr>
        <w:t xml:space="preserve"> and other records used to make decisions about the individual</w:t>
      </w:r>
      <w:r w:rsidR="00DD3349">
        <w:rPr>
          <w:lang w:val="en"/>
        </w:rPr>
        <w:t>.</w:t>
      </w:r>
      <w:r w:rsidR="003C3AAA">
        <w:rPr>
          <w:lang w:val="en"/>
        </w:rPr>
        <w:t xml:space="preserve">  </w:t>
      </w:r>
      <w:r w:rsidR="007A1270" w:rsidRPr="003C3AAA">
        <w:rPr>
          <w:lang w:val="en"/>
        </w:rPr>
        <w:t>With limited exce</w:t>
      </w:r>
      <w:r w:rsidR="003C3AAA" w:rsidRPr="003C3AAA">
        <w:rPr>
          <w:lang w:val="en"/>
        </w:rPr>
        <w:t>ptions, the Privacy Rule</w:t>
      </w:r>
      <w:r w:rsidR="007A1270" w:rsidRPr="003C3AAA">
        <w:rPr>
          <w:lang w:val="en"/>
        </w:rPr>
        <w:t xml:space="preserve"> provides individuals with a legal, enforceable right to see and receive copies </w:t>
      </w:r>
      <w:r w:rsidR="00A8413C">
        <w:rPr>
          <w:lang w:val="en"/>
        </w:rPr>
        <w:t>of</w:t>
      </w:r>
      <w:r w:rsidR="00A8413C" w:rsidRPr="003C3AAA">
        <w:rPr>
          <w:lang w:val="en"/>
        </w:rPr>
        <w:t xml:space="preserve"> their medical and other health records</w:t>
      </w:r>
      <w:r w:rsidR="00A8413C">
        <w:rPr>
          <w:lang w:val="en"/>
        </w:rPr>
        <w:t>,</w:t>
      </w:r>
      <w:r w:rsidR="00A8413C" w:rsidRPr="003C3AAA">
        <w:rPr>
          <w:lang w:val="en"/>
        </w:rPr>
        <w:t xml:space="preserve"> </w:t>
      </w:r>
      <w:r w:rsidR="007A1270" w:rsidRPr="003C3AAA">
        <w:rPr>
          <w:lang w:val="en"/>
        </w:rPr>
        <w:t>upon request of the information.</w:t>
      </w:r>
      <w:r w:rsidR="003C3AAA">
        <w:rPr>
          <w:lang w:val="en"/>
        </w:rPr>
        <w:t xml:space="preserve">  This right includes</w:t>
      </w:r>
      <w:r w:rsidR="005F7766">
        <w:rPr>
          <w:lang w:val="en"/>
        </w:rPr>
        <w:t xml:space="preserve"> allowing the individual to </w:t>
      </w:r>
      <w:r w:rsidR="003C3AAA">
        <w:rPr>
          <w:lang w:val="en"/>
        </w:rPr>
        <w:t>instruct a covered entity</w:t>
      </w:r>
      <w:r w:rsidR="00A07944">
        <w:rPr>
          <w:lang w:val="en"/>
        </w:rPr>
        <w:t xml:space="preserve"> or their business associate</w:t>
      </w:r>
      <w:r w:rsidR="003C3AAA">
        <w:rPr>
          <w:lang w:val="en"/>
        </w:rPr>
        <w:t xml:space="preserve"> to </w:t>
      </w:r>
      <w:r w:rsidR="003309CB">
        <w:rPr>
          <w:lang w:val="en"/>
        </w:rPr>
        <w:t>send the</w:t>
      </w:r>
      <w:r w:rsidR="005F7766">
        <w:rPr>
          <w:lang w:val="en"/>
        </w:rPr>
        <w:t xml:space="preserve"> individual’s</w:t>
      </w:r>
      <w:r w:rsidR="003309CB">
        <w:rPr>
          <w:lang w:val="en"/>
        </w:rPr>
        <w:t xml:space="preserve"> records to another person or entity.</w:t>
      </w:r>
      <w:r w:rsidR="00C34185">
        <w:rPr>
          <w:lang w:val="en"/>
        </w:rPr>
        <w:t xml:space="preserve">  </w:t>
      </w:r>
    </w:p>
    <w:p w14:paraId="17A555C7" w14:textId="77777777" w:rsidR="00604893" w:rsidRDefault="00C34185" w:rsidP="002E1FBE">
      <w:pPr>
        <w:pStyle w:val="NormalWeb"/>
        <w:shd w:val="clear" w:color="auto" w:fill="FFFFFF"/>
        <w:tabs>
          <w:tab w:val="left" w:pos="90"/>
          <w:tab w:val="left" w:pos="1620"/>
        </w:tabs>
        <w:ind w:left="1620" w:hanging="16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32BAF7C" w14:textId="13DC5A76" w:rsidR="00C34185" w:rsidRPr="0052667E" w:rsidRDefault="00604893" w:rsidP="002E1FBE">
      <w:pPr>
        <w:pStyle w:val="NormalWeb"/>
        <w:shd w:val="clear" w:color="auto" w:fill="FFFFFF"/>
        <w:tabs>
          <w:tab w:val="left" w:pos="90"/>
          <w:tab w:val="left" w:pos="1620"/>
        </w:tabs>
        <w:ind w:left="1620" w:hanging="1620"/>
        <w:rPr>
          <w:b/>
        </w:rPr>
      </w:pPr>
      <w:r>
        <w:tab/>
      </w:r>
      <w:r>
        <w:tab/>
        <w:t>At the same time,</w:t>
      </w:r>
      <w:r w:rsidRPr="0052667E">
        <w:t xml:space="preserve"> </w:t>
      </w:r>
      <w:r w:rsidR="00BD70C1" w:rsidRPr="00604893">
        <w:t>42</w:t>
      </w:r>
      <w:r w:rsidR="00BD70C1">
        <w:t xml:space="preserve"> CFR </w:t>
      </w:r>
      <w:r w:rsidR="00765816">
        <w:t>Part 2</w:t>
      </w:r>
      <w:r w:rsidR="00F164D7">
        <w:t xml:space="preserve"> restricts disclosure</w:t>
      </w:r>
      <w:r>
        <w:t xml:space="preserve"> </w:t>
      </w:r>
      <w:r w:rsidR="00F164D7">
        <w:t xml:space="preserve">of information relating to treatment for </w:t>
      </w:r>
      <w:r w:rsidR="003E4466">
        <w:t>substance use disorder</w:t>
      </w:r>
      <w:r>
        <w:t>s</w:t>
      </w:r>
      <w:r w:rsidR="00546847" w:rsidRPr="00546847">
        <w:t xml:space="preserve"> </w:t>
      </w:r>
      <w:r w:rsidR="00546847">
        <w:t>without a client’s written authorization</w:t>
      </w:r>
      <w:r w:rsidR="00A8740A">
        <w:t>.</w:t>
      </w:r>
      <w:r w:rsidR="00F164D7">
        <w:t xml:space="preserve">  </w:t>
      </w:r>
    </w:p>
    <w:p w14:paraId="1E73EB1A" w14:textId="77777777" w:rsidR="008E7228" w:rsidRDefault="008E7228" w:rsidP="00A07944">
      <w:pPr>
        <w:autoSpaceDE w:val="0"/>
        <w:autoSpaceDN w:val="0"/>
        <w:adjustRightInd w:val="0"/>
        <w:ind w:left="1620"/>
        <w:rPr>
          <w:sz w:val="24"/>
          <w:szCs w:val="24"/>
          <w:lang w:val="en"/>
        </w:rPr>
      </w:pPr>
    </w:p>
    <w:p w14:paraId="3EB0CF42" w14:textId="0CDACE79" w:rsidR="003145D7" w:rsidRDefault="00A92853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  <w:lang w:val="en"/>
        </w:rPr>
        <w:t>Disability Evaluation Services (</w:t>
      </w:r>
      <w:r w:rsidR="003309CB" w:rsidRPr="00A07944">
        <w:rPr>
          <w:sz w:val="24"/>
          <w:szCs w:val="24"/>
          <w:lang w:val="en"/>
        </w:rPr>
        <w:t>DES</w:t>
      </w:r>
      <w:r>
        <w:rPr>
          <w:sz w:val="24"/>
          <w:szCs w:val="24"/>
          <w:lang w:val="en"/>
        </w:rPr>
        <w:t>)</w:t>
      </w:r>
      <w:r w:rsidR="007A76A6">
        <w:rPr>
          <w:sz w:val="24"/>
          <w:szCs w:val="24"/>
          <w:lang w:val="en"/>
        </w:rPr>
        <w:t xml:space="preserve"> is a business associate of </w:t>
      </w:r>
      <w:r w:rsidR="003309CB" w:rsidRPr="00A07944">
        <w:rPr>
          <w:sz w:val="24"/>
          <w:szCs w:val="24"/>
          <w:lang w:val="en"/>
        </w:rPr>
        <w:t xml:space="preserve">state Medicaid agencies and other state agency customers.  </w:t>
      </w:r>
      <w:r w:rsidR="00A07944" w:rsidRPr="00A07944">
        <w:rPr>
          <w:sz w:val="24"/>
          <w:szCs w:val="24"/>
          <w:lang w:val="en"/>
        </w:rPr>
        <w:t>In the DES environment, a</w:t>
      </w:r>
      <w:r w:rsidR="00E36BBE">
        <w:rPr>
          <w:sz w:val="24"/>
          <w:szCs w:val="24"/>
          <w:lang w:val="en"/>
        </w:rPr>
        <w:t>n individual’s</w:t>
      </w:r>
      <w:r w:rsidR="00A07944" w:rsidRPr="00A07944">
        <w:rPr>
          <w:sz w:val="24"/>
          <w:szCs w:val="24"/>
          <w:lang w:val="en"/>
        </w:rPr>
        <w:t xml:space="preserve"> case file</w:t>
      </w:r>
      <w:r w:rsidR="00765816">
        <w:rPr>
          <w:sz w:val="24"/>
          <w:szCs w:val="24"/>
          <w:lang w:val="en"/>
        </w:rPr>
        <w:t xml:space="preserve"> may</w:t>
      </w:r>
      <w:r w:rsidR="00A07944" w:rsidRPr="00A07944">
        <w:rPr>
          <w:sz w:val="24"/>
          <w:szCs w:val="24"/>
          <w:lang w:val="en"/>
        </w:rPr>
        <w:t xml:space="preserve"> includ</w:t>
      </w:r>
      <w:r w:rsidR="00DD3349">
        <w:rPr>
          <w:sz w:val="24"/>
          <w:szCs w:val="24"/>
          <w:lang w:val="en"/>
        </w:rPr>
        <w:t>e</w:t>
      </w:r>
      <w:r w:rsidR="00A07944" w:rsidRPr="00A07944">
        <w:rPr>
          <w:sz w:val="24"/>
          <w:szCs w:val="24"/>
          <w:lang w:val="en"/>
        </w:rPr>
        <w:t xml:space="preserve"> medical records, </w:t>
      </w:r>
      <w:r w:rsidR="000C3512">
        <w:rPr>
          <w:sz w:val="24"/>
          <w:szCs w:val="24"/>
          <w:lang w:val="en"/>
        </w:rPr>
        <w:t>billing records</w:t>
      </w:r>
      <w:r w:rsidR="00A8740A">
        <w:rPr>
          <w:sz w:val="24"/>
          <w:szCs w:val="24"/>
          <w:lang w:val="en"/>
        </w:rPr>
        <w:t>,</w:t>
      </w:r>
      <w:r w:rsidR="00292C7E">
        <w:rPr>
          <w:sz w:val="24"/>
          <w:szCs w:val="24"/>
          <w:lang w:val="en"/>
        </w:rPr>
        <w:t xml:space="preserve"> </w:t>
      </w:r>
      <w:r w:rsidR="00A07944" w:rsidRPr="00A07944">
        <w:rPr>
          <w:sz w:val="24"/>
          <w:szCs w:val="24"/>
          <w:lang w:val="en"/>
        </w:rPr>
        <w:t>claims adjudication records, and any records that are used, in whole or in part</w:t>
      </w:r>
      <w:r w:rsidR="00A07944">
        <w:rPr>
          <w:sz w:val="24"/>
          <w:szCs w:val="24"/>
          <w:lang w:val="en"/>
        </w:rPr>
        <w:t>,</w:t>
      </w:r>
      <w:r w:rsidR="00A07944" w:rsidRPr="00A07944">
        <w:rPr>
          <w:sz w:val="24"/>
          <w:szCs w:val="24"/>
          <w:lang w:val="en"/>
        </w:rPr>
        <w:t xml:space="preserve"> to make decisions about an individual</w:t>
      </w:r>
      <w:r w:rsidR="0071688B">
        <w:rPr>
          <w:sz w:val="24"/>
          <w:szCs w:val="24"/>
          <w:lang w:val="en"/>
        </w:rPr>
        <w:t>.  All of these records</w:t>
      </w:r>
      <w:r w:rsidR="00A07944" w:rsidRPr="00A07944">
        <w:rPr>
          <w:sz w:val="24"/>
          <w:szCs w:val="24"/>
          <w:lang w:val="en"/>
        </w:rPr>
        <w:t xml:space="preserve"> are subject to </w:t>
      </w:r>
      <w:r w:rsidR="00DD3349">
        <w:rPr>
          <w:sz w:val="24"/>
          <w:szCs w:val="24"/>
          <w:lang w:val="en"/>
        </w:rPr>
        <w:t xml:space="preserve">an individual’s </w:t>
      </w:r>
      <w:r w:rsidR="00A07944" w:rsidRPr="00A07944">
        <w:rPr>
          <w:sz w:val="24"/>
          <w:szCs w:val="24"/>
          <w:lang w:val="en"/>
        </w:rPr>
        <w:t>requests for access.</w:t>
      </w:r>
      <w:r w:rsidR="00FD2B9A">
        <w:rPr>
          <w:sz w:val="24"/>
          <w:szCs w:val="24"/>
          <w:lang w:val="en"/>
        </w:rPr>
        <w:t xml:space="preserve">  </w:t>
      </w:r>
    </w:p>
    <w:p w14:paraId="200BF5EA" w14:textId="77777777" w:rsidR="008E7228" w:rsidRDefault="008E7228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05E5CACF" w14:textId="39BE5530" w:rsidR="003145D7" w:rsidRDefault="00A07944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DES routinely receives a high volume of calls and written requests for access </w:t>
      </w:r>
      <w:r w:rsidR="00974631">
        <w:rPr>
          <w:sz w:val="24"/>
          <w:szCs w:val="24"/>
        </w:rPr>
        <w:t xml:space="preserve">(copies of medical records, consultative examinations (CE), entire case files) </w:t>
      </w:r>
      <w:r>
        <w:rPr>
          <w:sz w:val="24"/>
          <w:szCs w:val="24"/>
        </w:rPr>
        <w:t>f</w:t>
      </w:r>
      <w:r w:rsidR="00974631">
        <w:rPr>
          <w:sz w:val="24"/>
          <w:szCs w:val="24"/>
        </w:rPr>
        <w:t>rom</w:t>
      </w:r>
      <w:r>
        <w:rPr>
          <w:sz w:val="24"/>
          <w:szCs w:val="24"/>
        </w:rPr>
        <w:t xml:space="preserve"> </w:t>
      </w:r>
      <w:r w:rsidR="003905CE">
        <w:rPr>
          <w:sz w:val="24"/>
          <w:szCs w:val="24"/>
        </w:rPr>
        <w:t>individuals</w:t>
      </w:r>
      <w:r>
        <w:rPr>
          <w:sz w:val="24"/>
          <w:szCs w:val="24"/>
        </w:rPr>
        <w:t>, their authorized representatives, parents of child applicants, attorneys, as well as agencies including the Disability Determination Services in the Massachusetts Rehabilitation Commission, Executive Office of Health and Human Services</w:t>
      </w:r>
      <w:r w:rsidR="00B80B59">
        <w:rPr>
          <w:sz w:val="24"/>
          <w:szCs w:val="24"/>
        </w:rPr>
        <w:t xml:space="preserve"> and others</w:t>
      </w:r>
      <w:r w:rsidR="00A8740A">
        <w:rPr>
          <w:sz w:val="24"/>
          <w:szCs w:val="24"/>
        </w:rPr>
        <w:t>.</w:t>
      </w:r>
    </w:p>
    <w:p w14:paraId="5BA20E89" w14:textId="77777777" w:rsidR="006023DF" w:rsidRPr="003145D7" w:rsidRDefault="006023DF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4CB157AF" w14:textId="76444BAC" w:rsidR="006A15A9" w:rsidRDefault="008C465F" w:rsidP="006A15A9">
      <w:pPr>
        <w:ind w:left="1620" w:hanging="1620"/>
        <w:rPr>
          <w:sz w:val="24"/>
          <w:szCs w:val="24"/>
        </w:rPr>
      </w:pPr>
      <w:r w:rsidRPr="006023DF">
        <w:rPr>
          <w:b/>
          <w:sz w:val="24"/>
          <w:szCs w:val="24"/>
        </w:rPr>
        <w:lastRenderedPageBreak/>
        <w:t>P</w:t>
      </w:r>
      <w:r w:rsidR="005632D8" w:rsidRPr="006023DF">
        <w:rPr>
          <w:b/>
          <w:sz w:val="24"/>
          <w:szCs w:val="24"/>
        </w:rPr>
        <w:t>olicy</w:t>
      </w:r>
      <w:r w:rsidRPr="006023DF">
        <w:rPr>
          <w:b/>
          <w:sz w:val="24"/>
          <w:szCs w:val="24"/>
        </w:rPr>
        <w:t xml:space="preserve">:  </w:t>
      </w:r>
      <w:r w:rsidR="00273D88" w:rsidRPr="006023DF">
        <w:rPr>
          <w:b/>
          <w:sz w:val="24"/>
          <w:szCs w:val="24"/>
        </w:rPr>
        <w:t xml:space="preserve">  </w:t>
      </w:r>
      <w:r w:rsidR="003145D7" w:rsidRPr="006023DF">
        <w:rPr>
          <w:b/>
          <w:sz w:val="24"/>
          <w:szCs w:val="24"/>
        </w:rPr>
        <w:t xml:space="preserve">  </w:t>
      </w:r>
      <w:r w:rsidR="005632D8" w:rsidRPr="006023DF">
        <w:rPr>
          <w:b/>
          <w:sz w:val="24"/>
          <w:szCs w:val="24"/>
        </w:rPr>
        <w:tab/>
      </w:r>
      <w:r w:rsidR="001F64E4" w:rsidRPr="001F64E4">
        <w:rPr>
          <w:sz w:val="24"/>
          <w:szCs w:val="24"/>
        </w:rPr>
        <w:t xml:space="preserve">DES’ policy </w:t>
      </w:r>
      <w:r w:rsidR="001F64E4">
        <w:rPr>
          <w:sz w:val="24"/>
          <w:szCs w:val="24"/>
        </w:rPr>
        <w:t xml:space="preserve">is </w:t>
      </w:r>
      <w:r w:rsidR="001F64E4" w:rsidRPr="001F64E4">
        <w:rPr>
          <w:sz w:val="24"/>
          <w:szCs w:val="24"/>
        </w:rPr>
        <w:t>to</w:t>
      </w:r>
      <w:r w:rsidR="00000FE7">
        <w:rPr>
          <w:sz w:val="24"/>
          <w:szCs w:val="24"/>
        </w:rPr>
        <w:t xml:space="preserve"> provide individuals the right to inspect and obtain a copy of their PHI that is contained within the designated record set</w:t>
      </w:r>
      <w:r w:rsidR="006B2362">
        <w:rPr>
          <w:sz w:val="24"/>
          <w:szCs w:val="24"/>
        </w:rPr>
        <w:t xml:space="preserve">, unless there is an </w:t>
      </w:r>
      <w:r w:rsidR="009C3A05">
        <w:rPr>
          <w:sz w:val="24"/>
          <w:szCs w:val="24"/>
        </w:rPr>
        <w:t>exception under the law</w:t>
      </w:r>
      <w:r w:rsidR="006B2362">
        <w:rPr>
          <w:sz w:val="24"/>
          <w:szCs w:val="24"/>
        </w:rPr>
        <w:t>.  Absent an exception,</w:t>
      </w:r>
      <w:r w:rsidR="009C3A05">
        <w:rPr>
          <w:sz w:val="24"/>
          <w:szCs w:val="24"/>
        </w:rPr>
        <w:t xml:space="preserve"> a</w:t>
      </w:r>
      <w:r w:rsidR="00000FE7">
        <w:rPr>
          <w:sz w:val="24"/>
          <w:szCs w:val="24"/>
        </w:rPr>
        <w:t xml:space="preserve">ccess will be permitted in accordance with this Policy.  </w:t>
      </w:r>
      <w:r w:rsidR="003145D7" w:rsidRPr="006023DF">
        <w:rPr>
          <w:sz w:val="24"/>
          <w:szCs w:val="24"/>
        </w:rPr>
        <w:t xml:space="preserve">This procedural standard establishes </w:t>
      </w:r>
      <w:r w:rsidR="00000FE7">
        <w:rPr>
          <w:sz w:val="24"/>
          <w:szCs w:val="24"/>
        </w:rPr>
        <w:t>the</w:t>
      </w:r>
      <w:r w:rsidR="003145D7" w:rsidRPr="006023DF">
        <w:rPr>
          <w:sz w:val="24"/>
          <w:szCs w:val="24"/>
        </w:rPr>
        <w:t xml:space="preserve"> DES policy that</w:t>
      </w:r>
      <w:r w:rsidR="00546847">
        <w:rPr>
          <w:sz w:val="24"/>
          <w:szCs w:val="24"/>
        </w:rPr>
        <w:t>, when a HIPAA Authorization is required for release of records,</w:t>
      </w:r>
      <w:r w:rsidR="003145D7" w:rsidRPr="006023DF">
        <w:rPr>
          <w:sz w:val="24"/>
          <w:szCs w:val="24"/>
        </w:rPr>
        <w:t xml:space="preserve"> </w:t>
      </w:r>
      <w:r w:rsidR="001F64E4">
        <w:rPr>
          <w:sz w:val="24"/>
          <w:szCs w:val="24"/>
        </w:rPr>
        <w:t>individual</w:t>
      </w:r>
      <w:r w:rsidR="003145D7" w:rsidRPr="006023DF">
        <w:rPr>
          <w:sz w:val="24"/>
          <w:szCs w:val="24"/>
        </w:rPr>
        <w:t>s and/or their representative</w:t>
      </w:r>
      <w:r w:rsidR="00B80B59">
        <w:rPr>
          <w:sz w:val="24"/>
          <w:szCs w:val="24"/>
        </w:rPr>
        <w:t>s</w:t>
      </w:r>
      <w:r w:rsidR="003145D7" w:rsidRPr="006023DF">
        <w:rPr>
          <w:sz w:val="24"/>
          <w:szCs w:val="24"/>
        </w:rPr>
        <w:t xml:space="preserve"> must use the </w:t>
      </w:r>
      <w:r w:rsidR="00A07944" w:rsidRPr="006023DF">
        <w:rPr>
          <w:sz w:val="24"/>
          <w:szCs w:val="24"/>
        </w:rPr>
        <w:t xml:space="preserve">standard </w:t>
      </w:r>
      <w:r w:rsidR="003145D7" w:rsidRPr="006023DF">
        <w:rPr>
          <w:sz w:val="24"/>
          <w:szCs w:val="24"/>
        </w:rPr>
        <w:t>Disability Evaluation Services</w:t>
      </w:r>
      <w:r w:rsidR="00974631" w:rsidRPr="006023DF">
        <w:rPr>
          <w:sz w:val="24"/>
          <w:szCs w:val="24"/>
        </w:rPr>
        <w:t xml:space="preserve"> (DES)</w:t>
      </w:r>
      <w:r w:rsidR="003145D7" w:rsidRPr="006023DF">
        <w:rPr>
          <w:sz w:val="24"/>
          <w:szCs w:val="24"/>
        </w:rPr>
        <w:t xml:space="preserve"> “Authorization to Release Information” form (attached) to request access to the records.  </w:t>
      </w:r>
      <w:r w:rsidR="006A15A9">
        <w:rPr>
          <w:sz w:val="24"/>
          <w:szCs w:val="24"/>
        </w:rPr>
        <w:t>DES has adopted this internal policy of only recognizing its own release form in order to ensure the information is released using a standard form that is compliant with the law and to provide efficient and cost effective services.</w:t>
      </w:r>
    </w:p>
    <w:p w14:paraId="73148578" w14:textId="63EC873E" w:rsidR="00E154A1" w:rsidRPr="00DA0925" w:rsidRDefault="00E154A1" w:rsidP="00000FE7">
      <w:pPr>
        <w:ind w:left="1620" w:hanging="1620"/>
        <w:rPr>
          <w:sz w:val="24"/>
          <w:szCs w:val="24"/>
        </w:rPr>
      </w:pPr>
    </w:p>
    <w:p w14:paraId="477B2835" w14:textId="0E32DA6A" w:rsidR="003145D7" w:rsidRDefault="00974631" w:rsidP="005632D8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If DES receives a request for access that does not include a completed DES Authorization to Release Information form, </w:t>
      </w:r>
      <w:r w:rsidR="00451C45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will be returned to the requestor instructing </w:t>
      </w:r>
      <w:r w:rsidR="00F04273">
        <w:rPr>
          <w:sz w:val="24"/>
          <w:szCs w:val="24"/>
        </w:rPr>
        <w:t>him or her</w:t>
      </w:r>
      <w:r>
        <w:rPr>
          <w:sz w:val="24"/>
          <w:szCs w:val="24"/>
        </w:rPr>
        <w:t xml:space="preserve"> to complete the form in order to access the records. .  </w:t>
      </w:r>
    </w:p>
    <w:p w14:paraId="5AC2471A" w14:textId="77777777" w:rsidR="005632D8" w:rsidRDefault="005632D8" w:rsidP="003145D7">
      <w:pPr>
        <w:autoSpaceDE w:val="0"/>
        <w:autoSpaceDN w:val="0"/>
        <w:adjustRightInd w:val="0"/>
        <w:ind w:left="1620" w:hanging="1620"/>
        <w:rPr>
          <w:sz w:val="24"/>
          <w:szCs w:val="24"/>
        </w:rPr>
      </w:pPr>
    </w:p>
    <w:p w14:paraId="6A2EA615" w14:textId="77777777" w:rsidR="005632D8" w:rsidRDefault="005632D8" w:rsidP="005632D8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Only the following exceptions to the requirement to request access with the DES Authorization to Release Information </w:t>
      </w:r>
      <w:r w:rsidR="006D54AA">
        <w:rPr>
          <w:sz w:val="24"/>
          <w:szCs w:val="24"/>
        </w:rPr>
        <w:t xml:space="preserve">form </w:t>
      </w:r>
      <w:r>
        <w:rPr>
          <w:sz w:val="24"/>
          <w:szCs w:val="24"/>
        </w:rPr>
        <w:t>are permitted:</w:t>
      </w:r>
    </w:p>
    <w:p w14:paraId="1AA65437" w14:textId="77777777" w:rsidR="00A27793" w:rsidRDefault="00A27793" w:rsidP="005632D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79F97AA0" w14:textId="77777777" w:rsidR="005632D8" w:rsidRDefault="005632D8" w:rsidP="00563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Social Security Administration form</w:t>
      </w:r>
      <w:r w:rsidR="006C1D4E">
        <w:rPr>
          <w:sz w:val="24"/>
          <w:szCs w:val="24"/>
        </w:rPr>
        <w:t xml:space="preserve"> SSA-827</w:t>
      </w:r>
      <w:r>
        <w:rPr>
          <w:sz w:val="24"/>
          <w:szCs w:val="24"/>
        </w:rPr>
        <w:t xml:space="preserve"> received from the Disability Determination Services (DDS) of the Massachusetts Rehabilitation Commission or any other state’s official DDS agency.</w:t>
      </w:r>
    </w:p>
    <w:p w14:paraId="72E23240" w14:textId="77777777" w:rsidR="006C1D4E" w:rsidRDefault="00A27793" w:rsidP="00563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Release of information pursuant to a court order </w:t>
      </w:r>
    </w:p>
    <w:p w14:paraId="6AAEB144" w14:textId="77777777" w:rsidR="006C1D4E" w:rsidRDefault="00A27793" w:rsidP="00563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Release of information requested by DES’s covered entity</w:t>
      </w:r>
    </w:p>
    <w:p w14:paraId="4AD36CD2" w14:textId="77777777" w:rsidR="00DA0925" w:rsidRPr="00DA0925" w:rsidRDefault="00DA0925" w:rsidP="00DA0925">
      <w:pPr>
        <w:autoSpaceDE w:val="0"/>
        <w:autoSpaceDN w:val="0"/>
        <w:adjustRightInd w:val="0"/>
        <w:ind w:left="1620" w:hanging="1620"/>
        <w:rPr>
          <w:sz w:val="24"/>
          <w:szCs w:val="24"/>
        </w:rPr>
      </w:pPr>
    </w:p>
    <w:p w14:paraId="2C029C71" w14:textId="61A251E8" w:rsidR="003145D7" w:rsidRDefault="00DA0925" w:rsidP="003145D7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>All other inquiries about access will receive instructions to complete the DES Authorization to Release Information and return it to DES for processing.</w:t>
      </w:r>
      <w:r w:rsidR="00B80B59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Complaints or inquiries about this requirement may be referred to the </w:t>
      </w:r>
      <w:r w:rsidR="005E3B5E">
        <w:rPr>
          <w:sz w:val="24"/>
          <w:szCs w:val="24"/>
        </w:rPr>
        <w:t xml:space="preserve">Program Manager responsible for Licensed Health Care Professional (LHCP) and Authorization to Release </w:t>
      </w:r>
      <w:r w:rsidR="00CB3A83">
        <w:rPr>
          <w:sz w:val="24"/>
          <w:szCs w:val="24"/>
        </w:rPr>
        <w:t xml:space="preserve">Protected Health </w:t>
      </w:r>
      <w:r w:rsidR="005E3B5E">
        <w:rPr>
          <w:sz w:val="24"/>
          <w:szCs w:val="24"/>
        </w:rPr>
        <w:t xml:space="preserve">Information reviews.   </w:t>
      </w:r>
      <w:r w:rsidR="00304A58">
        <w:rPr>
          <w:sz w:val="24"/>
          <w:szCs w:val="24"/>
        </w:rPr>
        <w:t>If necessary, the Program Manager or the LCHP may contact the Office o</w:t>
      </w:r>
      <w:r w:rsidR="00DF413A">
        <w:rPr>
          <w:sz w:val="24"/>
          <w:szCs w:val="24"/>
        </w:rPr>
        <w:t>f</w:t>
      </w:r>
      <w:r w:rsidR="00304A58">
        <w:rPr>
          <w:sz w:val="24"/>
          <w:szCs w:val="24"/>
        </w:rPr>
        <w:t xml:space="preserve"> Management (OOM) for advice.</w:t>
      </w:r>
    </w:p>
    <w:p w14:paraId="7B3860F5" w14:textId="77777777" w:rsidR="001B6AFB" w:rsidRDefault="001B6AFB" w:rsidP="00DA1568">
      <w:pPr>
        <w:autoSpaceDE w:val="0"/>
        <w:autoSpaceDN w:val="0"/>
        <w:adjustRightInd w:val="0"/>
        <w:ind w:left="1620"/>
        <w:jc w:val="right"/>
        <w:rPr>
          <w:sz w:val="24"/>
          <w:szCs w:val="24"/>
        </w:rPr>
      </w:pPr>
    </w:p>
    <w:p w14:paraId="5866A0F9" w14:textId="01974EAF" w:rsidR="002C4F21" w:rsidRDefault="00A9584F" w:rsidP="0071688B">
      <w:pPr>
        <w:autoSpaceDE w:val="0"/>
        <w:autoSpaceDN w:val="0"/>
        <w:adjustRightInd w:val="0"/>
        <w:ind w:left="1620" w:hanging="16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DES </w:t>
      </w:r>
      <w:r w:rsidR="00B87540">
        <w:rPr>
          <w:sz w:val="24"/>
          <w:szCs w:val="24"/>
        </w:rPr>
        <w:t>responds to requests for access in accordance with the timeliness requirements of 45 CFR 164.524</w:t>
      </w:r>
      <w:r w:rsidR="003E4466">
        <w:rPr>
          <w:sz w:val="24"/>
          <w:szCs w:val="24"/>
        </w:rPr>
        <w:t xml:space="preserve">.  </w:t>
      </w:r>
    </w:p>
    <w:p w14:paraId="4325C343" w14:textId="77777777" w:rsidR="00A9584F" w:rsidRPr="005F177A" w:rsidRDefault="00A9584F" w:rsidP="0071688B">
      <w:pPr>
        <w:autoSpaceDE w:val="0"/>
        <w:autoSpaceDN w:val="0"/>
        <w:adjustRightInd w:val="0"/>
        <w:ind w:left="1620" w:hanging="1620"/>
        <w:rPr>
          <w:sz w:val="24"/>
          <w:szCs w:val="24"/>
        </w:rPr>
      </w:pPr>
    </w:p>
    <w:p w14:paraId="47A3BC54" w14:textId="1CB86AEA" w:rsidR="00C8424F" w:rsidRDefault="001B6AFB" w:rsidP="00A8740A">
      <w:pPr>
        <w:autoSpaceDE w:val="0"/>
        <w:autoSpaceDN w:val="0"/>
        <w:adjustRightInd w:val="0"/>
        <w:ind w:left="1620" w:hanging="1620"/>
      </w:pPr>
      <w:r w:rsidRPr="0071688B">
        <w:rPr>
          <w:b/>
          <w:sz w:val="24"/>
          <w:szCs w:val="24"/>
        </w:rPr>
        <w:t>Summary: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In order to fully comply with HIPAA Privacy Rule requirements t</w:t>
      </w:r>
      <w:r w:rsidR="006D54AA">
        <w:rPr>
          <w:sz w:val="24"/>
          <w:szCs w:val="24"/>
        </w:rPr>
        <w:t>hat individuals</w:t>
      </w:r>
      <w:r>
        <w:rPr>
          <w:sz w:val="24"/>
          <w:szCs w:val="24"/>
        </w:rPr>
        <w:t xml:space="preserve"> have </w:t>
      </w:r>
      <w:r w:rsidR="006D54AA">
        <w:rPr>
          <w:sz w:val="24"/>
          <w:szCs w:val="24"/>
        </w:rPr>
        <w:t>a</w:t>
      </w:r>
      <w:r>
        <w:rPr>
          <w:sz w:val="24"/>
          <w:szCs w:val="24"/>
        </w:rPr>
        <w:t xml:space="preserve">ccess to their own information </w:t>
      </w:r>
      <w:r w:rsidR="005B5DA7">
        <w:rPr>
          <w:sz w:val="24"/>
          <w:szCs w:val="24"/>
        </w:rPr>
        <w:t xml:space="preserve">and to </w:t>
      </w:r>
      <w:r>
        <w:rPr>
          <w:sz w:val="24"/>
          <w:szCs w:val="24"/>
        </w:rPr>
        <w:t>protect against unauthorized disclosures of PHI, DES institut</w:t>
      </w:r>
      <w:r w:rsidR="005B5DA7">
        <w:rPr>
          <w:sz w:val="24"/>
          <w:szCs w:val="24"/>
        </w:rPr>
        <w:t xml:space="preserve">es the use of </w:t>
      </w:r>
      <w:r>
        <w:rPr>
          <w:sz w:val="24"/>
          <w:szCs w:val="24"/>
        </w:rPr>
        <w:t>a standard Disability Evaluation Services (DES) Authorization to Release Information form and requir</w:t>
      </w:r>
      <w:r w:rsidR="005B5DA7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its use as a means of requesting PHI from </w:t>
      </w:r>
      <w:r w:rsidR="005B5DA7">
        <w:rPr>
          <w:sz w:val="24"/>
          <w:szCs w:val="24"/>
        </w:rPr>
        <w:t>DES</w:t>
      </w:r>
      <w:r>
        <w:rPr>
          <w:sz w:val="24"/>
          <w:szCs w:val="24"/>
        </w:rPr>
        <w:t xml:space="preserve"> files</w:t>
      </w:r>
      <w:r w:rsidR="00A8740A">
        <w:rPr>
          <w:sz w:val="24"/>
          <w:szCs w:val="24"/>
        </w:rPr>
        <w:t>.</w:t>
      </w:r>
    </w:p>
    <w:p w14:paraId="6F7CB2B0" w14:textId="77777777" w:rsidR="00C8424F" w:rsidRDefault="00C8424F" w:rsidP="00C8424F">
      <w:pPr>
        <w:tabs>
          <w:tab w:val="left" w:pos="180"/>
        </w:tabs>
      </w:pPr>
    </w:p>
    <w:sectPr w:rsidR="00C8424F" w:rsidSect="0093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8E17" w14:textId="77777777" w:rsidR="0003388D" w:rsidRDefault="0003388D" w:rsidP="008C465F">
      <w:r>
        <w:separator/>
      </w:r>
    </w:p>
  </w:endnote>
  <w:endnote w:type="continuationSeparator" w:id="0">
    <w:p w14:paraId="2D399E9A" w14:textId="77777777" w:rsidR="0003388D" w:rsidRDefault="0003388D" w:rsidP="008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1A05" w14:textId="77777777" w:rsidR="00D77F52" w:rsidRDefault="00D77F52" w:rsidP="00D609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14AAA" w14:textId="77777777" w:rsidR="00D77F52" w:rsidRDefault="00D77F52" w:rsidP="00934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E497" w14:textId="77777777" w:rsidR="00B54F6C" w:rsidRDefault="00B54F6C" w:rsidP="006B6D77">
    <w:pPr>
      <w:pStyle w:val="Footer"/>
      <w:ind w:right="360"/>
      <w:rPr>
        <w:rStyle w:val="PageNumber"/>
        <w:i/>
        <w:snapToGrid w:val="0"/>
        <w:szCs w:val="22"/>
      </w:rPr>
    </w:pPr>
  </w:p>
  <w:p w14:paraId="53A4297F" w14:textId="5BD8BECF" w:rsidR="00B54F6C" w:rsidRDefault="006B6D77" w:rsidP="006B6D77">
    <w:pPr>
      <w:pStyle w:val="Footer"/>
      <w:ind w:right="360"/>
      <w:rPr>
        <w:rStyle w:val="PageNumber"/>
        <w:i/>
        <w:snapToGrid w:val="0"/>
        <w:szCs w:val="22"/>
      </w:rPr>
    </w:pPr>
    <w:r w:rsidRPr="00052E52">
      <w:rPr>
        <w:rStyle w:val="PageNumber"/>
        <w:i/>
        <w:snapToGrid w:val="0"/>
        <w:szCs w:val="22"/>
      </w:rPr>
      <w:t xml:space="preserve">Revision #1.  Supersedes PS 16-2 “Request for Access to Personal Health Care Information (PHI):  DES </w:t>
    </w:r>
  </w:p>
  <w:p w14:paraId="6E3BEA0B" w14:textId="562668D5" w:rsidR="006B6D77" w:rsidRPr="00052E52" w:rsidRDefault="006B6D77" w:rsidP="006B6D77">
    <w:pPr>
      <w:pStyle w:val="Footer"/>
      <w:ind w:right="360"/>
      <w:rPr>
        <w:i/>
        <w:szCs w:val="22"/>
      </w:rPr>
    </w:pPr>
    <w:r w:rsidRPr="00052E52">
      <w:rPr>
        <w:rStyle w:val="PageNumber"/>
        <w:i/>
        <w:snapToGrid w:val="0"/>
        <w:szCs w:val="22"/>
      </w:rPr>
      <w:t xml:space="preserve">Authorization to Release Information” dated </w:t>
    </w:r>
    <w:r w:rsidR="00B474FF" w:rsidRPr="00052E52">
      <w:rPr>
        <w:rStyle w:val="PageNumber"/>
        <w:i/>
        <w:snapToGrid w:val="0"/>
        <w:szCs w:val="22"/>
      </w:rPr>
      <w:t>July</w:t>
    </w:r>
    <w:r w:rsidR="00954410">
      <w:rPr>
        <w:rStyle w:val="PageNumber"/>
        <w:i/>
        <w:snapToGrid w:val="0"/>
        <w:szCs w:val="22"/>
      </w:rPr>
      <w:t xml:space="preserve"> 2</w:t>
    </w:r>
    <w:r w:rsidR="00B474FF" w:rsidRPr="00052E52">
      <w:rPr>
        <w:rStyle w:val="PageNumber"/>
        <w:i/>
        <w:snapToGrid w:val="0"/>
        <w:szCs w:val="22"/>
      </w:rPr>
      <w:t>1, 2016.</w:t>
    </w:r>
  </w:p>
  <w:p w14:paraId="762AE42D" w14:textId="382455E3" w:rsidR="006B6D77" w:rsidRDefault="006B6D77">
    <w:pPr>
      <w:pStyle w:val="Footer"/>
    </w:pPr>
  </w:p>
  <w:p w14:paraId="1D495F64" w14:textId="77777777" w:rsidR="00D77F52" w:rsidRDefault="00D77F52" w:rsidP="009346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5F56" w14:textId="77777777" w:rsidR="00954410" w:rsidRDefault="00954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529E" w14:textId="77777777" w:rsidR="0003388D" w:rsidRDefault="0003388D" w:rsidP="008C465F">
      <w:r>
        <w:separator/>
      </w:r>
    </w:p>
  </w:footnote>
  <w:footnote w:type="continuationSeparator" w:id="0">
    <w:p w14:paraId="562BEBAE" w14:textId="77777777" w:rsidR="0003388D" w:rsidRDefault="0003388D" w:rsidP="008C465F">
      <w:r>
        <w:continuationSeparator/>
      </w:r>
    </w:p>
  </w:footnote>
  <w:footnote w:id="1">
    <w:p w14:paraId="33023B87" w14:textId="45BDC842" w:rsidR="00B80B59" w:rsidRPr="00052E52" w:rsidRDefault="00B80B59">
      <w:pPr>
        <w:pStyle w:val="FootnoteText"/>
        <w:rPr>
          <w:sz w:val="18"/>
          <w:szCs w:val="18"/>
        </w:rPr>
      </w:pPr>
      <w:r w:rsidRPr="00052E52">
        <w:rPr>
          <w:rStyle w:val="FootnoteReference"/>
          <w:sz w:val="18"/>
          <w:szCs w:val="18"/>
        </w:rPr>
        <w:footnoteRef/>
      </w:r>
      <w:r w:rsidRPr="00052E52">
        <w:rPr>
          <w:sz w:val="18"/>
          <w:szCs w:val="18"/>
        </w:rPr>
        <w:t xml:space="preserve"> Instructions regarding the actual </w:t>
      </w:r>
      <w:r w:rsidR="008E7228" w:rsidRPr="00052E52">
        <w:rPr>
          <w:sz w:val="18"/>
          <w:szCs w:val="18"/>
        </w:rPr>
        <w:t xml:space="preserve">internal </w:t>
      </w:r>
      <w:r w:rsidRPr="00052E52">
        <w:rPr>
          <w:sz w:val="18"/>
          <w:szCs w:val="18"/>
        </w:rPr>
        <w:t>processing of requests for access, communications with request</w:t>
      </w:r>
      <w:r w:rsidR="008E7228" w:rsidRPr="00052E52">
        <w:rPr>
          <w:sz w:val="18"/>
          <w:szCs w:val="18"/>
        </w:rPr>
        <w:t>ing individuals or entities</w:t>
      </w:r>
      <w:r w:rsidRPr="00052E52">
        <w:rPr>
          <w:sz w:val="18"/>
          <w:szCs w:val="18"/>
        </w:rPr>
        <w:t>, and review of records by a Licensed Health Care professional prior to release are contained in other internal documents</w:t>
      </w:r>
      <w:r w:rsidR="00A8740A" w:rsidRPr="00052E52">
        <w:rPr>
          <w:sz w:val="18"/>
          <w:szCs w:val="18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9190" w14:textId="77777777" w:rsidR="00954410" w:rsidRDefault="00954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885C" w14:textId="77777777" w:rsidR="00954410" w:rsidRDefault="00954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A307" w14:textId="77777777" w:rsidR="00954410" w:rsidRDefault="00954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8B"/>
    <w:multiLevelType w:val="hybridMultilevel"/>
    <w:tmpl w:val="E8A6C5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E85A12"/>
    <w:multiLevelType w:val="hybridMultilevel"/>
    <w:tmpl w:val="4B92A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B634E"/>
    <w:multiLevelType w:val="hybridMultilevel"/>
    <w:tmpl w:val="C76E67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91197"/>
    <w:multiLevelType w:val="hybridMultilevel"/>
    <w:tmpl w:val="F9FCF7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9E34C2"/>
    <w:multiLevelType w:val="hybridMultilevel"/>
    <w:tmpl w:val="F1FE32D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2426963"/>
    <w:multiLevelType w:val="hybridMultilevel"/>
    <w:tmpl w:val="ACB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8E0"/>
    <w:multiLevelType w:val="hybridMultilevel"/>
    <w:tmpl w:val="098694AE"/>
    <w:lvl w:ilvl="0" w:tplc="7A9C2D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2A6966"/>
    <w:multiLevelType w:val="hybridMultilevel"/>
    <w:tmpl w:val="7974BB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AB004C3"/>
    <w:multiLevelType w:val="hybridMultilevel"/>
    <w:tmpl w:val="D1183D0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DDE0CBB"/>
    <w:multiLevelType w:val="hybridMultilevel"/>
    <w:tmpl w:val="29BA5358"/>
    <w:lvl w:ilvl="0" w:tplc="AE465BF8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3EA7"/>
    <w:multiLevelType w:val="hybridMultilevel"/>
    <w:tmpl w:val="B57E29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31A421B"/>
    <w:multiLevelType w:val="hybridMultilevel"/>
    <w:tmpl w:val="6EB8F8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6E21C7"/>
    <w:multiLevelType w:val="hybridMultilevel"/>
    <w:tmpl w:val="F7809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A7E281C"/>
    <w:multiLevelType w:val="hybridMultilevel"/>
    <w:tmpl w:val="C6A406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8825604"/>
    <w:multiLevelType w:val="hybridMultilevel"/>
    <w:tmpl w:val="4AFC29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7C"/>
    <w:rsid w:val="00000FE7"/>
    <w:rsid w:val="000063D1"/>
    <w:rsid w:val="0000744B"/>
    <w:rsid w:val="0000751E"/>
    <w:rsid w:val="00007C0B"/>
    <w:rsid w:val="00016857"/>
    <w:rsid w:val="00022396"/>
    <w:rsid w:val="000231A0"/>
    <w:rsid w:val="0003388D"/>
    <w:rsid w:val="000441FB"/>
    <w:rsid w:val="00047F7E"/>
    <w:rsid w:val="00051288"/>
    <w:rsid w:val="00052E52"/>
    <w:rsid w:val="000554F2"/>
    <w:rsid w:val="00056452"/>
    <w:rsid w:val="0006013B"/>
    <w:rsid w:val="00061BD9"/>
    <w:rsid w:val="00061E1A"/>
    <w:rsid w:val="0006795E"/>
    <w:rsid w:val="000815B2"/>
    <w:rsid w:val="000A0DCD"/>
    <w:rsid w:val="000A2495"/>
    <w:rsid w:val="000B0E19"/>
    <w:rsid w:val="000C1BB8"/>
    <w:rsid w:val="000C3512"/>
    <w:rsid w:val="000D51A8"/>
    <w:rsid w:val="000E61D6"/>
    <w:rsid w:val="000F03B9"/>
    <w:rsid w:val="000F298A"/>
    <w:rsid w:val="000F408E"/>
    <w:rsid w:val="000F6367"/>
    <w:rsid w:val="001030DD"/>
    <w:rsid w:val="00124642"/>
    <w:rsid w:val="001251AF"/>
    <w:rsid w:val="0013290F"/>
    <w:rsid w:val="00132F44"/>
    <w:rsid w:val="00141DCC"/>
    <w:rsid w:val="0014598F"/>
    <w:rsid w:val="00146796"/>
    <w:rsid w:val="00156534"/>
    <w:rsid w:val="00161EB4"/>
    <w:rsid w:val="00162BBB"/>
    <w:rsid w:val="00181DD6"/>
    <w:rsid w:val="001960F9"/>
    <w:rsid w:val="001B6AFB"/>
    <w:rsid w:val="001C1BA1"/>
    <w:rsid w:val="001C3A2D"/>
    <w:rsid w:val="001D49E5"/>
    <w:rsid w:val="001E01CF"/>
    <w:rsid w:val="001E054F"/>
    <w:rsid w:val="001E0A45"/>
    <w:rsid w:val="001F64E4"/>
    <w:rsid w:val="00200D52"/>
    <w:rsid w:val="00204F07"/>
    <w:rsid w:val="00216FFF"/>
    <w:rsid w:val="00217451"/>
    <w:rsid w:val="00217B8C"/>
    <w:rsid w:val="00227F64"/>
    <w:rsid w:val="0023462A"/>
    <w:rsid w:val="00244BE1"/>
    <w:rsid w:val="00245585"/>
    <w:rsid w:val="00250C87"/>
    <w:rsid w:val="00271CF4"/>
    <w:rsid w:val="00273D88"/>
    <w:rsid w:val="00273F8C"/>
    <w:rsid w:val="0028430C"/>
    <w:rsid w:val="00286A16"/>
    <w:rsid w:val="002913EA"/>
    <w:rsid w:val="00292C7E"/>
    <w:rsid w:val="00295311"/>
    <w:rsid w:val="002A218D"/>
    <w:rsid w:val="002A6986"/>
    <w:rsid w:val="002B08D7"/>
    <w:rsid w:val="002C4F21"/>
    <w:rsid w:val="002D4BA9"/>
    <w:rsid w:val="002E1184"/>
    <w:rsid w:val="002E1FBE"/>
    <w:rsid w:val="002E753E"/>
    <w:rsid w:val="00304A58"/>
    <w:rsid w:val="003145D7"/>
    <w:rsid w:val="00321DF6"/>
    <w:rsid w:val="00322E09"/>
    <w:rsid w:val="00324BAD"/>
    <w:rsid w:val="00327AA9"/>
    <w:rsid w:val="003309CB"/>
    <w:rsid w:val="00333CCA"/>
    <w:rsid w:val="00356C0F"/>
    <w:rsid w:val="00357F6C"/>
    <w:rsid w:val="0036042F"/>
    <w:rsid w:val="00360E96"/>
    <w:rsid w:val="00376767"/>
    <w:rsid w:val="003773F5"/>
    <w:rsid w:val="003857E7"/>
    <w:rsid w:val="003905CE"/>
    <w:rsid w:val="00395741"/>
    <w:rsid w:val="003961F3"/>
    <w:rsid w:val="003A07E6"/>
    <w:rsid w:val="003B0098"/>
    <w:rsid w:val="003B0A1C"/>
    <w:rsid w:val="003B774C"/>
    <w:rsid w:val="003C2657"/>
    <w:rsid w:val="003C3AAA"/>
    <w:rsid w:val="003E2143"/>
    <w:rsid w:val="003E4466"/>
    <w:rsid w:val="003E4B08"/>
    <w:rsid w:val="003E53FF"/>
    <w:rsid w:val="003F0E97"/>
    <w:rsid w:val="003F2C45"/>
    <w:rsid w:val="003F4130"/>
    <w:rsid w:val="0040553B"/>
    <w:rsid w:val="00407CB8"/>
    <w:rsid w:val="0041340C"/>
    <w:rsid w:val="0041749C"/>
    <w:rsid w:val="00426A25"/>
    <w:rsid w:val="00430655"/>
    <w:rsid w:val="0043269E"/>
    <w:rsid w:val="00437C9E"/>
    <w:rsid w:val="004438A9"/>
    <w:rsid w:val="00445558"/>
    <w:rsid w:val="00451C45"/>
    <w:rsid w:val="0045302A"/>
    <w:rsid w:val="004535AF"/>
    <w:rsid w:val="00454067"/>
    <w:rsid w:val="0045640F"/>
    <w:rsid w:val="00467272"/>
    <w:rsid w:val="00474257"/>
    <w:rsid w:val="004814B6"/>
    <w:rsid w:val="00482420"/>
    <w:rsid w:val="00485451"/>
    <w:rsid w:val="004858E7"/>
    <w:rsid w:val="00487F2A"/>
    <w:rsid w:val="0049253C"/>
    <w:rsid w:val="0049601B"/>
    <w:rsid w:val="004A24FE"/>
    <w:rsid w:val="004A2BA3"/>
    <w:rsid w:val="004A483F"/>
    <w:rsid w:val="004A6FC0"/>
    <w:rsid w:val="004D0779"/>
    <w:rsid w:val="004D34E5"/>
    <w:rsid w:val="004D61DE"/>
    <w:rsid w:val="004E256A"/>
    <w:rsid w:val="004E384A"/>
    <w:rsid w:val="004F7B2F"/>
    <w:rsid w:val="00502F87"/>
    <w:rsid w:val="005110C7"/>
    <w:rsid w:val="0052502B"/>
    <w:rsid w:val="0052667E"/>
    <w:rsid w:val="00546847"/>
    <w:rsid w:val="00546E7D"/>
    <w:rsid w:val="0055539E"/>
    <w:rsid w:val="00555F90"/>
    <w:rsid w:val="005632D8"/>
    <w:rsid w:val="0058065D"/>
    <w:rsid w:val="0058076B"/>
    <w:rsid w:val="00585A4E"/>
    <w:rsid w:val="00586978"/>
    <w:rsid w:val="00592D17"/>
    <w:rsid w:val="005A224D"/>
    <w:rsid w:val="005B5DA7"/>
    <w:rsid w:val="005E3846"/>
    <w:rsid w:val="005E3B5E"/>
    <w:rsid w:val="005F177A"/>
    <w:rsid w:val="005F7766"/>
    <w:rsid w:val="006023DF"/>
    <w:rsid w:val="00604893"/>
    <w:rsid w:val="00605F83"/>
    <w:rsid w:val="00607F59"/>
    <w:rsid w:val="0061433E"/>
    <w:rsid w:val="006252CB"/>
    <w:rsid w:val="00626DD8"/>
    <w:rsid w:val="00632E33"/>
    <w:rsid w:val="006651C2"/>
    <w:rsid w:val="0067696A"/>
    <w:rsid w:val="006860A6"/>
    <w:rsid w:val="00692A73"/>
    <w:rsid w:val="00692D4B"/>
    <w:rsid w:val="006A15A9"/>
    <w:rsid w:val="006A25C2"/>
    <w:rsid w:val="006B0E68"/>
    <w:rsid w:val="006B2362"/>
    <w:rsid w:val="006B354C"/>
    <w:rsid w:val="006B6D77"/>
    <w:rsid w:val="006C1D4E"/>
    <w:rsid w:val="006C60D1"/>
    <w:rsid w:val="006D54AA"/>
    <w:rsid w:val="006E3EAB"/>
    <w:rsid w:val="006F04E2"/>
    <w:rsid w:val="0071688B"/>
    <w:rsid w:val="007325AE"/>
    <w:rsid w:val="00742E9B"/>
    <w:rsid w:val="00756093"/>
    <w:rsid w:val="00757751"/>
    <w:rsid w:val="007579A0"/>
    <w:rsid w:val="00765816"/>
    <w:rsid w:val="0076595F"/>
    <w:rsid w:val="007879FC"/>
    <w:rsid w:val="00791F0E"/>
    <w:rsid w:val="00792E78"/>
    <w:rsid w:val="00793371"/>
    <w:rsid w:val="00794C62"/>
    <w:rsid w:val="00797B8F"/>
    <w:rsid w:val="007A1270"/>
    <w:rsid w:val="007A39FE"/>
    <w:rsid w:val="007A4B60"/>
    <w:rsid w:val="007A76A6"/>
    <w:rsid w:val="007B01E7"/>
    <w:rsid w:val="007C19F5"/>
    <w:rsid w:val="007C2707"/>
    <w:rsid w:val="008024AE"/>
    <w:rsid w:val="00810C9F"/>
    <w:rsid w:val="00810D90"/>
    <w:rsid w:val="008406FE"/>
    <w:rsid w:val="008429F6"/>
    <w:rsid w:val="00851050"/>
    <w:rsid w:val="00857663"/>
    <w:rsid w:val="008731ED"/>
    <w:rsid w:val="008803E8"/>
    <w:rsid w:val="008942B5"/>
    <w:rsid w:val="00895D69"/>
    <w:rsid w:val="00897F24"/>
    <w:rsid w:val="008A15DC"/>
    <w:rsid w:val="008B741A"/>
    <w:rsid w:val="008C1E89"/>
    <w:rsid w:val="008C465F"/>
    <w:rsid w:val="008C598D"/>
    <w:rsid w:val="008C5A04"/>
    <w:rsid w:val="008C7554"/>
    <w:rsid w:val="008E134D"/>
    <w:rsid w:val="008E4EAB"/>
    <w:rsid w:val="008E6856"/>
    <w:rsid w:val="008E7228"/>
    <w:rsid w:val="009044B9"/>
    <w:rsid w:val="00906CB7"/>
    <w:rsid w:val="00906F25"/>
    <w:rsid w:val="00926146"/>
    <w:rsid w:val="0093465E"/>
    <w:rsid w:val="00936BC5"/>
    <w:rsid w:val="009423CE"/>
    <w:rsid w:val="00954410"/>
    <w:rsid w:val="0096122A"/>
    <w:rsid w:val="00974631"/>
    <w:rsid w:val="009768E5"/>
    <w:rsid w:val="009C3A05"/>
    <w:rsid w:val="009C5677"/>
    <w:rsid w:val="009C763E"/>
    <w:rsid w:val="009D2B69"/>
    <w:rsid w:val="009D51ED"/>
    <w:rsid w:val="009E0C2E"/>
    <w:rsid w:val="009E139C"/>
    <w:rsid w:val="009F4321"/>
    <w:rsid w:val="009F5A12"/>
    <w:rsid w:val="00A03FFC"/>
    <w:rsid w:val="00A059FF"/>
    <w:rsid w:val="00A07944"/>
    <w:rsid w:val="00A16E53"/>
    <w:rsid w:val="00A17AB0"/>
    <w:rsid w:val="00A17DBF"/>
    <w:rsid w:val="00A226FB"/>
    <w:rsid w:val="00A266A8"/>
    <w:rsid w:val="00A26860"/>
    <w:rsid w:val="00A27793"/>
    <w:rsid w:val="00A44B6D"/>
    <w:rsid w:val="00A472AF"/>
    <w:rsid w:val="00A535F8"/>
    <w:rsid w:val="00A5609A"/>
    <w:rsid w:val="00A658B4"/>
    <w:rsid w:val="00A71FBE"/>
    <w:rsid w:val="00A773EC"/>
    <w:rsid w:val="00A8413C"/>
    <w:rsid w:val="00A8740A"/>
    <w:rsid w:val="00A87D98"/>
    <w:rsid w:val="00A92853"/>
    <w:rsid w:val="00A9584F"/>
    <w:rsid w:val="00AB32D4"/>
    <w:rsid w:val="00AB4162"/>
    <w:rsid w:val="00AC02B2"/>
    <w:rsid w:val="00AC529C"/>
    <w:rsid w:val="00AD77CA"/>
    <w:rsid w:val="00AE14E5"/>
    <w:rsid w:val="00AE1CE6"/>
    <w:rsid w:val="00AE5290"/>
    <w:rsid w:val="00AF541B"/>
    <w:rsid w:val="00B00B48"/>
    <w:rsid w:val="00B0258E"/>
    <w:rsid w:val="00B06CB0"/>
    <w:rsid w:val="00B07071"/>
    <w:rsid w:val="00B30CD3"/>
    <w:rsid w:val="00B3182D"/>
    <w:rsid w:val="00B33D78"/>
    <w:rsid w:val="00B4531B"/>
    <w:rsid w:val="00B47102"/>
    <w:rsid w:val="00B474FF"/>
    <w:rsid w:val="00B51502"/>
    <w:rsid w:val="00B53C71"/>
    <w:rsid w:val="00B54F6C"/>
    <w:rsid w:val="00B65773"/>
    <w:rsid w:val="00B672E1"/>
    <w:rsid w:val="00B80B59"/>
    <w:rsid w:val="00B835D2"/>
    <w:rsid w:val="00B86494"/>
    <w:rsid w:val="00B87540"/>
    <w:rsid w:val="00B90A63"/>
    <w:rsid w:val="00BB02AB"/>
    <w:rsid w:val="00BB0815"/>
    <w:rsid w:val="00BB6B63"/>
    <w:rsid w:val="00BD6B56"/>
    <w:rsid w:val="00BD70C1"/>
    <w:rsid w:val="00BF1258"/>
    <w:rsid w:val="00BF445F"/>
    <w:rsid w:val="00BF5524"/>
    <w:rsid w:val="00BF7966"/>
    <w:rsid w:val="00C061A2"/>
    <w:rsid w:val="00C06B8D"/>
    <w:rsid w:val="00C17738"/>
    <w:rsid w:val="00C34185"/>
    <w:rsid w:val="00C34E53"/>
    <w:rsid w:val="00C41ABC"/>
    <w:rsid w:val="00C51B5D"/>
    <w:rsid w:val="00C57638"/>
    <w:rsid w:val="00C70294"/>
    <w:rsid w:val="00C80C63"/>
    <w:rsid w:val="00C8424F"/>
    <w:rsid w:val="00CA6341"/>
    <w:rsid w:val="00CB3A83"/>
    <w:rsid w:val="00CC13BB"/>
    <w:rsid w:val="00CD0F39"/>
    <w:rsid w:val="00CE1F6F"/>
    <w:rsid w:val="00CF417C"/>
    <w:rsid w:val="00CF471A"/>
    <w:rsid w:val="00CF57F9"/>
    <w:rsid w:val="00D02605"/>
    <w:rsid w:val="00D0428F"/>
    <w:rsid w:val="00D065C8"/>
    <w:rsid w:val="00D12FED"/>
    <w:rsid w:val="00D15CEB"/>
    <w:rsid w:val="00D3282E"/>
    <w:rsid w:val="00D609B0"/>
    <w:rsid w:val="00D77F52"/>
    <w:rsid w:val="00D9179C"/>
    <w:rsid w:val="00D95272"/>
    <w:rsid w:val="00DA0925"/>
    <w:rsid w:val="00DA1568"/>
    <w:rsid w:val="00DA5F45"/>
    <w:rsid w:val="00DB76F9"/>
    <w:rsid w:val="00DC376E"/>
    <w:rsid w:val="00DD31FE"/>
    <w:rsid w:val="00DD3349"/>
    <w:rsid w:val="00DF3406"/>
    <w:rsid w:val="00DF367D"/>
    <w:rsid w:val="00DF413A"/>
    <w:rsid w:val="00E012E7"/>
    <w:rsid w:val="00E04F5C"/>
    <w:rsid w:val="00E07484"/>
    <w:rsid w:val="00E130B7"/>
    <w:rsid w:val="00E154A1"/>
    <w:rsid w:val="00E16BB6"/>
    <w:rsid w:val="00E3192D"/>
    <w:rsid w:val="00E31D62"/>
    <w:rsid w:val="00E36BBE"/>
    <w:rsid w:val="00E37A1E"/>
    <w:rsid w:val="00E4250A"/>
    <w:rsid w:val="00E443F7"/>
    <w:rsid w:val="00E50C3A"/>
    <w:rsid w:val="00E556F9"/>
    <w:rsid w:val="00E66317"/>
    <w:rsid w:val="00E726F1"/>
    <w:rsid w:val="00E73C92"/>
    <w:rsid w:val="00E7797D"/>
    <w:rsid w:val="00E92C9C"/>
    <w:rsid w:val="00EA17EF"/>
    <w:rsid w:val="00EA2459"/>
    <w:rsid w:val="00EA7751"/>
    <w:rsid w:val="00EB4A99"/>
    <w:rsid w:val="00EC00AA"/>
    <w:rsid w:val="00EC0F31"/>
    <w:rsid w:val="00EC3D14"/>
    <w:rsid w:val="00EE54A7"/>
    <w:rsid w:val="00EF1B3A"/>
    <w:rsid w:val="00EF37D6"/>
    <w:rsid w:val="00F03703"/>
    <w:rsid w:val="00F04273"/>
    <w:rsid w:val="00F11A13"/>
    <w:rsid w:val="00F147B3"/>
    <w:rsid w:val="00F164D7"/>
    <w:rsid w:val="00F217E8"/>
    <w:rsid w:val="00F22F7C"/>
    <w:rsid w:val="00F23CBB"/>
    <w:rsid w:val="00F64134"/>
    <w:rsid w:val="00F64941"/>
    <w:rsid w:val="00F700B2"/>
    <w:rsid w:val="00F90501"/>
    <w:rsid w:val="00F915C8"/>
    <w:rsid w:val="00F95B46"/>
    <w:rsid w:val="00F97ED6"/>
    <w:rsid w:val="00FA6A02"/>
    <w:rsid w:val="00FB7EF5"/>
    <w:rsid w:val="00FC64BB"/>
    <w:rsid w:val="00FD2B9A"/>
    <w:rsid w:val="00FE18C5"/>
    <w:rsid w:val="00FE6DA3"/>
    <w:rsid w:val="00FF278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00E4CC"/>
  <w15:docId w15:val="{D152E732-7E31-4C9A-8D09-FD8E2D0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7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F417C"/>
    <w:pPr>
      <w:keepNext/>
      <w:ind w:left="5040" w:right="-1080" w:firstLine="720"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17C"/>
    <w:rPr>
      <w:rFonts w:ascii="Comic Sans MS" w:eastAsia="Times New Roman" w:hAnsi="Comic Sans MS" w:cs="Times New Roman"/>
      <w:b/>
      <w:spacing w:val="0"/>
      <w:w w:val="100"/>
      <w:position w:val="0"/>
      <w:szCs w:val="20"/>
    </w:rPr>
  </w:style>
  <w:style w:type="paragraph" w:styleId="NormalWeb">
    <w:name w:val="Normal (Web)"/>
    <w:basedOn w:val="Normal"/>
    <w:rsid w:val="00CF417C"/>
    <w:pPr>
      <w:spacing w:before="48" w:after="48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9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nhideWhenUsed/>
    <w:rsid w:val="00C2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9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74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9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7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7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282E"/>
    <w:pPr>
      <w:ind w:left="720"/>
      <w:contextualSpacing/>
    </w:pPr>
  </w:style>
  <w:style w:type="paragraph" w:styleId="Revision">
    <w:name w:val="Revision"/>
    <w:hidden/>
    <w:uiPriority w:val="99"/>
    <w:semiHidden/>
    <w:rsid w:val="00A87D98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C5A04"/>
    <w:rPr>
      <w:vertAlign w:val="superscript"/>
    </w:rPr>
  </w:style>
  <w:style w:type="character" w:styleId="PageNumber">
    <w:name w:val="page number"/>
    <w:basedOn w:val="DefaultParagraphFont"/>
    <w:rsid w:val="009C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0BF7-3808-4796-9B42-9AA1FB74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Procedural Standard 16-2</vt:lpstr>
    </vt:vector>
  </TitlesOfParts>
  <Company>UMASS Medical School</Company>
  <LinksUpToDate>false</LinksUpToDate>
  <CharactersWithSpaces>4772</CharactersWithSpaces>
  <SharedDoc>false</SharedDoc>
  <HLinks>
    <vt:vector size="12" baseType="variant">
      <vt:variant>
        <vt:i4>6750232</vt:i4>
      </vt:variant>
      <vt:variant>
        <vt:i4>3</vt:i4>
      </vt:variant>
      <vt:variant>
        <vt:i4>0</vt:i4>
      </vt:variant>
      <vt:variant>
        <vt:i4>5</vt:i4>
      </vt:variant>
      <vt:variant>
        <vt:lpwstr>mailto:HR-DataGroup@umassmed.edu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mailto:HR-DataGroup@umassmed.edu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LGinsburg</cp:lastModifiedBy>
  <cp:revision>2</cp:revision>
  <cp:lastPrinted>2019-07-10T16:29:00Z</cp:lastPrinted>
  <dcterms:created xsi:type="dcterms:W3CDTF">2020-02-26T17:08:00Z</dcterms:created>
  <dcterms:modified xsi:type="dcterms:W3CDTF">2020-02-26T17:08:00Z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