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1008" w:left="2880" w:firstLine="-2880"/>
        <w:spacing w:before="0" w:after="0" w:line="240" w:lineRule="auto"/>
        <w:jc w:val="left"/>
        <w:rPr>
          <w:b w:val="true"/>
          <w:color w:val="#000000"/>
          <w:sz w:val="24"/>
          <w:lang w:val="en-US"/>
          <w:spacing w:val="-13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13"/>
          <w:w w:val="105"/>
          <w:strike w:val="false"/>
          <w:vertAlign w:val="baseline"/>
          <w:rFonts w:ascii="Times New Roman" w:hAnsi="Times New Roman"/>
        </w:rPr>
        <w:t xml:space="preserve">CARES Act Emergency Solutions Grant (ESG) Round 2 Funding under COVID-19 </w:t>
      </w:r>
      <w:r>
        <w:rPr>
          <w:b w:val="true"/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Supplemental Appropriations</w:t>
      </w:r>
    </w:p>
    <w:p>
      <w:pPr>
        <w:ind w:right="0" w:left="0" w:firstLine="0"/>
        <w:spacing w:before="252" w:after="0" w:line="204" w:lineRule="auto"/>
        <w:jc w:val="center"/>
        <w:rPr>
          <w:color w:val="#000000"/>
          <w:sz w:val="24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June 2020</w:t>
      </w:r>
    </w:p>
    <w:p>
      <w:pPr>
        <w:ind w:right="144" w:left="0" w:firstLine="0"/>
        <w:spacing w:before="576" w:after="0" w:line="240" w:lineRule="auto"/>
        <w:jc w:val="left"/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This paper provides an explanation for the formula used to allocate the balance of Emergency Solutions Grants (ESG) funding appropriated under the CARES Act that were not previously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allocated. The allocation of $2.96 billion uses a formula targeted toward communities with high </w:t>
      </w:r>
      <w:r>
        <w:rPr>
          <w:color w:val="#000000"/>
          <w:sz w:val="24"/>
          <w:lang w:val="en-US"/>
          <w:spacing w:val="-4"/>
          <w:w w:val="105"/>
          <w:strike w:val="false"/>
          <w:vertAlign w:val="baseline"/>
          <w:rFonts w:ascii="Times New Roman" w:hAnsi="Times New Roman"/>
        </w:rPr>
        <w:t xml:space="preserve">fractions of homeless – both sheltered and unsheltered – and those at the most risk for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homelessness. It also takes into account economic and housing market conditions by making a </w:t>
      </w:r>
      <w:r>
        <w:rPr>
          <w:color w:val="#000000"/>
          <w:sz w:val="24"/>
          <w:lang w:val="en-US"/>
          <w:spacing w:val="-11"/>
          <w:w w:val="105"/>
          <w:strike w:val="false"/>
          <w:vertAlign w:val="baseline"/>
          <w:rFonts w:ascii="Times New Roman" w:hAnsi="Times New Roman"/>
        </w:rPr>
        <w:t xml:space="preserve">modest adjustment for jurisdictions with very high market rents. One of the most at-risk groups for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transmission of coronavirus are homeless individuals.</w:t>
      </w:r>
    </w:p>
    <w:p>
      <w:pPr>
        <w:ind w:right="144" w:left="0" w:firstLine="0"/>
        <w:spacing w:before="288" w:after="0" w:line="240" w:lineRule="auto"/>
        <w:jc w:val="left"/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At the end of this paper is a chart showing both Round 1 and Round 2 ESG CARES Act Allocation </w:t>
      </w:r>
      <w:r>
        <w:rPr>
          <w:color w:val="#000000"/>
          <w:sz w:val="24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amounts.</w:t>
      </w:r>
    </w:p>
    <w:p>
      <w:pPr>
        <w:ind w:right="0" w:left="0" w:firstLine="0"/>
        <w:spacing w:before="288" w:after="0" w:line="240" w:lineRule="auto"/>
        <w:jc w:val="left"/>
        <w:rPr>
          <w:i w:val="true"/>
          <w:color w:val="#000000"/>
          <w:sz w:val="24"/>
          <w:lang w:val="en-US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24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Background</w:t>
      </w:r>
    </w:p>
    <w:p>
      <w:pPr>
        <w:ind w:right="576" w:left="0" w:firstLine="0"/>
        <w:spacing w:before="252" w:after="0" w:line="240" w:lineRule="auto"/>
        <w:jc w:val="left"/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Congress has provided $4 billion for the Emergency Solutions Grants (ESG) program for local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governments to use to:</w:t>
      </w:r>
    </w:p>
    <w:p>
      <w:pPr>
        <w:ind w:right="0" w:left="720" w:firstLine="0"/>
        <w:spacing w:before="288" w:after="0" w:line="240" w:lineRule="auto"/>
        <w:jc w:val="left"/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“prevent, prepare for, and respond to coronavirus, among individuals and families who are </w:t>
      </w: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homeless or receiving homeless assistance and to support additional homeless assistance and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homelessness prevention activities to mitigate the impacts created by coronavirus”</w:t>
      </w:r>
    </w:p>
    <w:p>
      <w:pPr>
        <w:ind w:right="0" w:left="0" w:firstLine="0"/>
        <w:spacing w:before="288" w:after="0" w:line="240" w:lineRule="auto"/>
        <w:jc w:val="left"/>
        <w:rPr>
          <w:i w:val="true"/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Initial Allocation of $1 billion</w:t>
      </w:r>
    </w:p>
    <w:p>
      <w:pPr>
        <w:ind w:right="144" w:left="0" w:firstLine="0"/>
        <w:spacing w:before="288" w:after="0" w:line="240" w:lineRule="auto"/>
        <w:jc w:val="left"/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HUD allocated $1 billion of ESG funding in the first week after the President signed the bill under the traditional ESG formula. The traditional ESG formula was effective at making an allocation </w:t>
      </w: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quickly, however it only targets modestly well to homeless and has no targeting to places with high </w:t>
      </w:r>
      <w:r>
        <w:rPr>
          <w:color w:val="#000000"/>
          <w:sz w:val="24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rates of unsheltered homeless. That is because the ESG formula is allocated using the CDBG </w:t>
      </w:r>
      <w:r>
        <w:rPr>
          <w:color w:val="#000000"/>
          <w:sz w:val="24"/>
          <w:lang w:val="en-US"/>
          <w:spacing w:val="-4"/>
          <w:w w:val="105"/>
          <w:strike w:val="false"/>
          <w:vertAlign w:val="baseline"/>
          <w:rFonts w:ascii="Times New Roman" w:hAnsi="Times New Roman"/>
        </w:rPr>
        <w:t xml:space="preserve">formula – designed to target to community development need - which only has a modest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relationship to where homelessness needs are most severe.</w:t>
      </w:r>
    </w:p>
    <w:p>
      <w:pPr>
        <w:ind w:right="144" w:left="0" w:firstLine="0"/>
        <w:spacing w:before="216" w:after="0" w:line="240" w:lineRule="auto"/>
        <w:jc w:val="left"/>
        <w:rPr>
          <w:color w:val="#000000"/>
          <w:sz w:val="24"/>
          <w:lang w:val="en-US"/>
          <w:spacing w:val="-11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1"/>
          <w:w w:val="105"/>
          <w:strike w:val="false"/>
          <w:vertAlign w:val="baseline"/>
          <w:rFonts w:ascii="Times New Roman" w:hAnsi="Times New Roman"/>
        </w:rPr>
        <w:t xml:space="preserve">Using statistics, the correlation between the ESG per capita grant amount and the per capita rate of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homelessness is 0.359. There is a relationship, but it is not as strong as we would like (a correlation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of 1.000 is a perfect correlation) to make a targeted allocation of the most funds to the places that </w:t>
      </w:r>
      <w:r>
        <w:rPr>
          <w:color w:val="#000000"/>
          <w:sz w:val="24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will need the funds the most. And the ESG per capita grant amount has a -0.051 correlation with </w:t>
      </w:r>
      <w:r>
        <w:rPr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  <w:t xml:space="preserve">the rate of unsheltered homelessness, which means it has no targeting at all toward the unsheltered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homeless challenges.</w:t>
      </w:r>
    </w:p>
    <w:p>
      <w:pPr>
        <w:sectPr>
          <w:pgSz w:w="12240" w:h="15840" w:orient="portrait"/>
          <w:type w:val="nextPage"/>
          <w:textDirection w:val="lrTb"/>
          <w:pgMar w:bottom="876" w:top="1798" w:right="1363" w:left="1417" w:header="720" w:footer="976"/>
          <w:footerReference w:type="first" r:id="drId1"/>
          <w:titlePg w:val="true"/>
        </w:sectPr>
      </w:pPr>
    </w:p>
    <w:p>
      <w:pPr>
        <w:ind w:right="0" w:left="0" w:firstLine="0"/>
        <w:spacing w:before="0" w:after="0" w:line="240" w:lineRule="auto"/>
        <w:jc w:val="left"/>
        <w:rPr>
          <w:i w:val="true"/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</w:pPr>
      <w:r>
        <w:rPr>
          <w:i w:val="true"/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Targeted Allocation of $2.96 billion</w:t>
      </w:r>
    </w:p>
    <w:p>
      <w:pPr>
        <w:ind w:right="504" w:left="0" w:firstLine="0"/>
        <w:spacing w:before="216" w:after="0" w:line="240" w:lineRule="auto"/>
        <w:jc w:val="left"/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The Department has committed $40 million of the appropriated funds to technical assistance to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recipients of ESG to build capacity and facilitate speedy implementation.</w:t>
      </w:r>
    </w:p>
    <w:p>
      <w:pPr>
        <w:ind w:right="0" w:left="0" w:firstLine="0"/>
        <w:spacing w:before="288" w:after="0" w:line="240" w:lineRule="auto"/>
        <w:jc w:val="left"/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The remaining $2.96 billion is to be allocated under a formula:</w:t>
      </w:r>
    </w:p>
    <w:p>
      <w:pPr>
        <w:ind w:right="288" w:left="720" w:firstLine="0"/>
        <w:spacing w:before="288" w:after="0" w:line="240" w:lineRule="auto"/>
        <w:jc w:val="left"/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“for the benefit of unsheltered homeless, sheltered homeless, and those at risk of </w:t>
      </w:r>
      <w:r>
        <w:rPr>
          <w:color w:val="#000000"/>
          <w:sz w:val="24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homelessness, to geographical areas with the greatest need based on factors to be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determined by the Secretary, such as risk of transmission of coronavirus, high numbers or</w:t>
      </w:r>
    </w:p>
    <w:p>
      <w:pPr>
        <w:ind w:right="0" w:left="720" w:firstLine="0"/>
        <w:spacing w:before="0" w:after="0" w:line="240" w:lineRule="auto"/>
        <w:jc w:val="left"/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rates of sheltered and unsheltered homeless, and economic and housing market conditions as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determined by the Secretary”</w:t>
      </w:r>
    </w:p>
    <w:p>
      <w:pPr>
        <w:ind w:right="432" w:left="0" w:firstLine="0"/>
        <w:spacing w:before="288" w:after="0" w:line="240" w:lineRule="auto"/>
        <w:jc w:val="both"/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In response to this Congressional direction, the Department has developed an allocation formula that targets to the homeless and those at risk of homelessness, adjusting slightly upward for high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cost places.</w:t>
      </w:r>
    </w:p>
    <w:p>
      <w:pPr>
        <w:ind w:right="0" w:left="0" w:firstLine="0"/>
        <w:spacing w:before="252" w:after="0" w:line="276" w:lineRule="auto"/>
        <w:jc w:val="left"/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The variables for targeting to homeless and at risk of homelessness are</w:t>
      </w:r>
      <w:r>
        <w:rPr>
          <w:color w:val="#000000"/>
          <w:sz w:val="24"/>
          <w:lang w:val="en-US"/>
          <w:spacing w:val="-7"/>
          <w:w w:val="115"/>
          <w:strike w:val="false"/>
          <w:vertAlign w:val="superscript"/>
          <w:rFonts w:ascii="Times New Roman" w:hAnsi="Times New Roman"/>
        </w:rPr>
        <w:t xml:space="preserve">1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:</w:t>
      </w:r>
    </w:p>
    <w:p>
      <w:pPr>
        <w:ind w:right="0" w:left="864" w:firstLine="-504"/>
        <w:spacing w:before="252" w:after="0" w:line="240" w:lineRule="auto"/>
        <w:jc w:val="left"/>
        <w:tabs>
          <w:tab w:val="clear" w:pos="504"/>
          <w:tab w:val="decimal" w:pos="864"/>
        </w:tabs>
        <w:numPr>
          <w:ilvl w:val="0"/>
          <w:numId w:val="2"/>
        </w:numPr>
        <w:rPr>
          <w:b w:val="true"/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Share of all homeless.</w:t>
      </w: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 Total Homeless Count from the 2019 Point-in-Time count, which is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the sum of sheltered and unsheltered homeless. 50 percent weight.</w:t>
      </w:r>
    </w:p>
    <w:p>
      <w:pPr>
        <w:ind w:right="288" w:left="864" w:firstLine="-504"/>
        <w:spacing w:before="324" w:after="0" w:line="240" w:lineRule="auto"/>
        <w:jc w:val="left"/>
        <w:tabs>
          <w:tab w:val="clear" w:pos="504"/>
          <w:tab w:val="decimal" w:pos="864"/>
        </w:tabs>
        <w:numPr>
          <w:ilvl w:val="0"/>
          <w:numId w:val="2"/>
        </w:numPr>
        <w:rPr>
          <w:b w:val="true"/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  <w:t xml:space="preserve">Share of unsheltered homeless. </w:t>
      </w:r>
      <w:r>
        <w:rPr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  <w:t xml:space="preserve">This double counts with the all homeless variable above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but provides additional funding to help with places with particularly high number and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percent of unsheltered homeless. 10 percent weight.</w:t>
      </w:r>
    </w:p>
    <w:p>
      <w:pPr>
        <w:ind w:right="0" w:left="864" w:firstLine="-504"/>
        <w:spacing w:before="360" w:after="0" w:line="240" w:lineRule="auto"/>
        <w:jc w:val="left"/>
        <w:tabs>
          <w:tab w:val="clear" w:pos="504"/>
          <w:tab w:val="decimal" w:pos="864"/>
        </w:tabs>
        <w:numPr>
          <w:ilvl w:val="0"/>
          <w:numId w:val="2"/>
        </w:numPr>
        <w:rPr>
          <w:b w:val="true"/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Share of at risk for homelessness – Total Very Low-Income (VLI) Renters.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 A </w:t>
      </w: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community’s rate of very low-income renter households, defined as total very low-income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renter households divided by all households in the community, has a 0.506 correlation with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per capita homeless counts. This variable is particularly good at capturing the poorer </w:t>
      </w:r>
      <w:r>
        <w:rPr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  <w:t xml:space="preserve">communities in every metro area where an economic downturn is likely to have the most at-risk for homelessness. It, however, is not necessarily capturing the places with the greatest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unsheltered homeless risk. 15 percent weight.</w:t>
      </w:r>
    </w:p>
    <w:p>
      <w:pPr>
        <w:ind w:right="144" w:left="864" w:firstLine="-504"/>
        <w:spacing w:before="504" w:after="360" w:line="240" w:lineRule="auto"/>
        <w:jc w:val="both"/>
        <w:tabs>
          <w:tab w:val="clear" w:pos="504"/>
          <w:tab w:val="decimal" w:pos="864"/>
        </w:tabs>
        <w:numPr>
          <w:ilvl w:val="0"/>
          <w:numId w:val="2"/>
        </w:numPr>
        <w:rPr>
          <w:b w:val="true"/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Share of at risk for unsheltered homelessness – VLI renters overcrowded or without kitchen or plumbing.</w:t>
      </w: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 To get at risk for unsheltered homelessness we need to also capture </w:t>
      </w: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economically strong places with an at-risk population. In economically strong places, very </w:t>
      </w: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low-income renters are making ends meet through overcrowding. The percent of very low-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income renters that are overcrowded or without complete kitchen and plumbing correlates</w:t>
      </w:r>
    </w:p>
    <w:p>
      <w:pPr>
        <w:ind w:right="0" w:left="0" w:firstLine="0"/>
        <w:spacing w:before="144" w:after="0" w:line="240" w:lineRule="auto"/>
        <w:jc w:val="left"/>
        <w:rPr>
          <w:color w:val="#000000"/>
          <w:sz w:val="16"/>
          <w:lang w:val="en-US"/>
          <w:spacing w:val="-6"/>
          <w:w w:val="115"/>
          <w:strike w:val="false"/>
          <w:vertAlign w:val="baseline"/>
          <w:rFonts w:ascii="Times New Roman" w:hAnsi="Times New Roman"/>
        </w:rPr>
      </w:pPr>
      <w:r>
        <w:pict>
          <v:line strokeweight="0.95pt" strokecolor="#000000" from="0pt,655.9pt" to="145.15pt,655.9pt" style="position:absolute;mso-position-horizontal-relative:text;mso-position-vertical-relative:page;">
            <v:stroke dashstyle="solid"/>
          </v:line>
        </w:pict>
      </w:r>
      <w:r>
        <w:rPr>
          <w:color w:val="#000000"/>
          <w:sz w:val="16"/>
          <w:lang w:val="en-US"/>
          <w:spacing w:val="-6"/>
          <w:w w:val="115"/>
          <w:strike w:val="false"/>
          <w:vertAlign w:val="baseline"/>
          <w:rFonts w:ascii="Times New Roman" w:hAnsi="Times New Roman"/>
        </w:rPr>
        <w:t xml:space="preserve">1 </w:t>
      </w:r>
      <w:r>
        <w:rPr>
          <w:color w:val="#000000"/>
          <w:sz w:val="20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The first two homeless count variables are based on 2019 Point-In-Time homeless count data that have been adjusted from the Continuum-of-Care geographies they are collected to the Emergency Solutions Grant geographies. Source: </w:t>
      </w:r>
      <w:hyperlink r:id="drId6">
        <w:r>
          <w:rPr>
            <w:color w:val="#0000FF"/>
            <w:sz w:val="20"/>
            <w:lang w:val="en-US"/>
            <w:spacing w:val="-9"/>
            <w:w w:val="105"/>
            <w:strike w:val="false"/>
            <w:u w:val="single"/>
            <w:vertAlign w:val="baseline"/>
            <w:rFonts w:ascii="Times New Roman" w:hAnsi="Times New Roman"/>
          </w:rPr>
          <w:t xml:space="preserve">https://www.hudexchange.info/resource/3031/pit-and-hic-data-since-2007/</w:t>
        </w:r>
      </w:hyperlink>
      <w:r>
        <w:rPr>
          <w:color w:val="#000000"/>
          <w:sz w:val="20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 . The second two variables are from a special </w:t>
      </w:r>
      <w:r>
        <w:rPr>
          <w:color w:val="#000000"/>
          <w:sz w:val="20"/>
          <w:lang w:val="en-US"/>
          <w:spacing w:val="0"/>
          <w:w w:val="105"/>
          <w:strike w:val="false"/>
          <w:vertAlign w:val="baseline"/>
          <w:rFonts w:ascii="Times New Roman" w:hAnsi="Times New Roman"/>
        </w:rPr>
        <w:t xml:space="preserve">tabulation of 5-year American Community Survey (ACS) data available at this site: </w:t>
      </w:r>
      <w:hyperlink r:id="drId7">
        <w:r>
          <w:rPr>
            <w:color w:val="#0000FF"/>
            <w:sz w:val="20"/>
            <w:lang w:val="en-US"/>
            <w:spacing w:val="-6"/>
            <w:w w:val="105"/>
            <w:strike w:val="false"/>
            <w:u w:val="single"/>
            <w:vertAlign w:val="baseline"/>
            <w:rFonts w:ascii="Times New Roman" w:hAnsi="Times New Roman"/>
          </w:rPr>
          <w:t xml:space="preserve">https://www.huduser.gov/portal/datasets/cp.html</w:t>
        </w:r>
      </w:hyperlink>
      <w:r>
        <w:rPr>
          <w:color w:val="#0000FF"/>
          <w:sz w:val="20"/>
          <w:lang w:val="en-US"/>
          <w:spacing w:val="-6"/>
          <w:w w:val="100"/>
          <w:strike w:val="false"/>
          <w:vertAlign w:val="baseline"/>
          <w:rFonts w:ascii="Times New Roman" w:hAnsi="Times New Roman"/>
        </w:rPr>
      </w:r>
    </w:p>
    <w:p>
      <w:pPr>
        <w:sectPr>
          <w:pgSz w:w="12240" w:h="15840" w:orient="portrait"/>
          <w:type w:val="nextPage"/>
          <w:textDirection w:val="lrTb"/>
          <w:pgMar w:bottom="876" w:top="1518" w:right="1380" w:left="1400" w:header="720" w:footer="976"/>
          <w:footerReference w:type="first" r:id="drId4"/>
          <w:titlePg w:val="true"/>
        </w:sectPr>
      </w:pPr>
    </w:p>
    <w:p>
      <w:pPr>
        <w:ind w:right="72" w:left="792" w:firstLine="0"/>
        <w:spacing w:before="0" w:after="0" w:line="240" w:lineRule="auto"/>
        <w:jc w:val="left"/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at 0.562 with unsheltered homeless (but does not correlate well with overall homelessness).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That is, it is capturing a different risk group for homelessness. 25 percent weight.</w:t>
      </w:r>
    </w:p>
    <w:p>
      <w:pPr>
        <w:ind w:right="72" w:left="0" w:firstLine="0"/>
        <w:spacing w:before="144" w:after="0" w:line="240" w:lineRule="auto"/>
        <w:jc w:val="left"/>
        <w:rPr>
          <w:color w:val="#000000"/>
          <w:sz w:val="24"/>
          <w:lang w:val="en-US"/>
          <w:spacing w:val="-11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1"/>
          <w:w w:val="105"/>
          <w:strike w:val="false"/>
          <w:vertAlign w:val="baseline"/>
          <w:rFonts w:ascii="Times New Roman" w:hAnsi="Times New Roman"/>
        </w:rPr>
        <w:t xml:space="preserve">Each of these variables is adjusted to take into account local housing and economic circumstances.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Specifically, each variable is adjusted upward for housing costs. To calculate this, if the 1-bedroom </w:t>
      </w:r>
      <w:r>
        <w:rPr>
          <w:color w:val="#000000"/>
          <w:sz w:val="24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Fair Market Rent in a jurisdiction is 10% above the national average fair market rent (weighted on the specific variable), then we increased the value of the variable by 10% before calculating a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community’s share of the overall need on that variable. Non-entitled areas are all calculated using their unadjusted counts, and no areas receive a downward adjustment. We cap the increase at 20 percent to lessen the impact of high-cost outliers.</w:t>
      </w:r>
    </w:p>
    <w:p>
      <w:pPr>
        <w:ind w:right="144" w:left="0" w:firstLine="0"/>
        <w:spacing w:before="288" w:after="0" w:line="240" w:lineRule="auto"/>
        <w:jc w:val="left"/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The language in the statute notes that the formula may take into account “risk of transmission of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coronavirus” in determining the formula. Coronavirus cases have been recorded in every US State and territory. The evidence has also shown that being homeless appears to increase an individual’s </w:t>
      </w:r>
      <w:r>
        <w:rPr>
          <w:color w:val="#000000"/>
          <w:sz w:val="24"/>
          <w:lang w:val="en-US"/>
          <w:spacing w:val="-5"/>
          <w:w w:val="105"/>
          <w:strike w:val="false"/>
          <w:vertAlign w:val="baseline"/>
          <w:rFonts w:ascii="Times New Roman" w:hAnsi="Times New Roman"/>
        </w:rPr>
        <w:t xml:space="preserve">risk of transmission of coronavirus where there is community spread. By having this formula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allocate toward homeless needs, it is also allocating toward the risk of transmission of coronavirus.</w:t>
      </w:r>
    </w:p>
    <w:p>
      <w:pPr>
        <w:ind w:right="432" w:left="0" w:firstLine="0"/>
        <w:spacing w:before="288" w:after="0" w:line="240" w:lineRule="auto"/>
        <w:jc w:val="both"/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9"/>
          <w:w w:val="105"/>
          <w:strike w:val="false"/>
          <w:vertAlign w:val="baseline"/>
          <w:rFonts w:ascii="Times New Roman" w:hAnsi="Times New Roman"/>
        </w:rPr>
        <w:t xml:space="preserve">Finally, most of these data are not available for insular areas (Virgin Islands, American Samoa, Guam, Northern Marianas), so insular areas receive 0.2 percent of the funding and receive their </w:t>
      </w:r>
      <w:r>
        <w:rPr>
          <w:color w:val="#000000"/>
          <w:sz w:val="24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same proportional shares as they received under the 2020 ESG allocation.</w:t>
      </w:r>
    </w:p>
    <w:p>
      <w:pPr>
        <w:ind w:right="360" w:left="0" w:firstLine="0"/>
        <w:spacing w:before="288" w:after="0" w:line="240" w:lineRule="auto"/>
        <w:jc w:val="both"/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The chart below shows how well this formula’s per capita allocation correlates with the different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dimensions of need. The resulting formula, as you would expect given that it uses homelessness </w:t>
      </w:r>
      <w:r>
        <w:rPr>
          <w:color w:val="#000000"/>
          <w:sz w:val="24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and the other need variable below as their core variable, is a per capita allocation that has a 0.941 </w:t>
      </w:r>
      <w:r>
        <w:rPr>
          <w:color w:val="#000000"/>
          <w:sz w:val="24"/>
          <w:lang w:val="en-US"/>
          <w:spacing w:val="-10"/>
          <w:w w:val="105"/>
          <w:strike w:val="false"/>
          <w:vertAlign w:val="baseline"/>
          <w:rFonts w:ascii="Times New Roman" w:hAnsi="Times New Roman"/>
        </w:rPr>
        <w:t xml:space="preserve">correlation with per capita homelessness rates and 0.771 correlation with per capita unsheltered </w:t>
      </w:r>
      <w:r>
        <w:rPr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homeless rates.</w:t>
      </w:r>
    </w:p>
    <w:p>
      <w:pPr>
        <w:ind w:right="0" w:left="0" w:firstLine="0"/>
        <w:spacing w:before="288" w:after="36" w:line="196" w:lineRule="auto"/>
        <w:jc w:val="center"/>
        <w:rPr>
          <w:b w:val="true"/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4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Correlations</w:t>
      </w:r>
    </w:p>
    <w:tbl>
      <w:tblPr>
        <w:jc w:val="left"/>
        <w:tblInd w:w="1892" w:type="dxa"/>
        <w:tblLayout w:type="fixed"/>
        <w:tblCellMar>
          <w:left w:w="0" w:type="dxa"/>
          <w:right w:w="0" w:type="dxa"/>
        </w:tblCellMar>
      </w:tblPr>
      <w:tblGrid>
        <w:gridCol w:w="4008"/>
        <w:gridCol w:w="1671"/>
      </w:tblGrid>
      <w:tr>
        <w:trPr>
          <w:trHeight w:val="1152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18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Proposed CARES
</w:t>
              <w:br/>
            </w:r>
            <w:r>
              <w:rPr>
                <w:color w:val="#000000"/>
                <w:sz w:val="18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Act ESG Formula
</w:t>
              <w:br/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per capita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center"/>
          </w:tcPr>
          <w:p>
            <w:pPr>
              <w:ind w:right="0" w:left="120" w:firstLine="0"/>
              <w:spacing w:before="0" w:after="0" w:line="240" w:lineRule="auto"/>
              <w:jc w:val="left"/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Overall homelessness rate per capita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.941</w:t>
            </w:r>
            <w:r>
              <w:rPr>
                <w:color w:val="#000000"/>
                <w:sz w:val="18"/>
                <w:lang w:val="en-US"/>
                <w:spacing w:val="-4"/>
                <w:w w:val="120"/>
                <w:strike w:val="false"/>
                <w:vertAlign w:val="superscript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center"/>
          </w:tcPr>
          <w:p>
            <w:pPr>
              <w:ind w:right="0" w:left="210" w:firstLine="0"/>
              <w:spacing w:before="0" w:after="0" w:line="240" w:lineRule="auto"/>
              <w:jc w:val="left"/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Sheltered homeless rate per capita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.647</w:t>
            </w:r>
            <w:r>
              <w:rPr>
                <w:color w:val="#000000"/>
                <w:sz w:val="18"/>
                <w:lang w:val="en-US"/>
                <w:spacing w:val="-4"/>
                <w:w w:val="120"/>
                <w:strike w:val="false"/>
                <w:vertAlign w:val="superscript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center"/>
          </w:tcPr>
          <w:p>
            <w:pPr>
              <w:ind w:right="0" w:left="210" w:firstLine="0"/>
              <w:spacing w:before="0" w:after="0" w:line="240" w:lineRule="auto"/>
              <w:jc w:val="left"/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Unsheltered homeless rate per capita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.771</w:t>
            </w:r>
            <w:r>
              <w:rPr>
                <w:color w:val="#000000"/>
                <w:sz w:val="18"/>
                <w:lang w:val="en-US"/>
                <w:spacing w:val="-4"/>
                <w:w w:val="120"/>
                <w:strike w:val="false"/>
                <w:vertAlign w:val="superscript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center"/>
          </w:tcPr>
          <w:p>
            <w:pPr>
              <w:ind w:right="0" w:left="120" w:firstLine="0"/>
              <w:spacing w:before="0" w:after="0" w:line="240" w:lineRule="auto"/>
              <w:jc w:val="left"/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Percent homes occupied by VLI renters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.564</w:t>
            </w:r>
            <w:r>
              <w:rPr>
                <w:color w:val="#000000"/>
                <w:sz w:val="18"/>
                <w:lang w:val="en-US"/>
                <w:spacing w:val="-4"/>
                <w:w w:val="120"/>
                <w:strike w:val="false"/>
                <w:vertAlign w:val="superscript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538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top"/>
          </w:tcPr>
          <w:p>
            <w:pPr>
              <w:ind w:right="360" w:left="108" w:firstLine="0"/>
              <w:spacing w:before="36" w:after="0" w:line="240" w:lineRule="auto"/>
              <w:jc w:val="left"/>
              <w:rPr>
                <w:color w:val="#000000"/>
                <w:sz w:val="18"/>
                <w:lang w:val="en-US"/>
                <w:spacing w:val="-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Percent of VLI renters overcrowded or without </w:t>
            </w:r>
            <w:r>
              <w:rPr>
                <w:color w:val="#000000"/>
                <w:sz w:val="18"/>
                <w:lang w:val="en-US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complete kitchen or plumbing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.466</w:t>
            </w:r>
            <w:r>
              <w:rPr>
                <w:color w:val="#000000"/>
                <w:sz w:val="12"/>
                <w:lang w:val="en-US"/>
                <w:spacing w:val="0"/>
                <w:w w:val="115"/>
                <w:strike w:val="false"/>
                <w:vertAlign w:val="baseline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374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900" w:type="auto"/>
            <w:textDirection w:val="lrTb"/>
            <w:vAlign w:val="center"/>
          </w:tcPr>
          <w:p>
            <w:pPr>
              <w:ind w:right="0" w:left="120" w:firstLine="0"/>
              <w:spacing w:before="0" w:after="0" w:line="240" w:lineRule="auto"/>
              <w:jc w:val="left"/>
              <w:rPr>
                <w:color w:val="#000000"/>
                <w:sz w:val="18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1-Bedroom Fair Market Rent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571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.515</w:t>
            </w:r>
            <w:r>
              <w:rPr>
                <w:color w:val="#000000"/>
                <w:sz w:val="18"/>
                <w:lang w:val="en-US"/>
                <w:spacing w:val="-4"/>
                <w:w w:val="120"/>
                <w:strike w:val="false"/>
                <w:vertAlign w:val="superscript"/>
                <w:rFonts w:ascii="Arial" w:hAnsi="Arial"/>
              </w:rPr>
              <w:t xml:space="preserve">**</w:t>
            </w:r>
            <w:r>
              <w:rPr>
                <w:color w:val="#000000"/>
                <w:sz w:val="18"/>
                <w:lang w:val="en-US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518" w:right="1408" w:left="1372" w:header="720" w:footer="971"/>
          <w:footerReference w:type="even" r:id="drId8"/>
          <w:footerReference w:type="first" r:id="drId9"/>
          <w:titlePg w:val="true"/>
        </w:sectPr>
      </w:pPr>
    </w:p>
    <w:p>
      <w:pPr>
        <w:ind w:right="0" w:left="0" w:firstLine="0"/>
        <w:spacing w:before="0" w:after="144" w:line="240" w:lineRule="auto"/>
        <w:jc w:val="left"/>
        <w:rPr>
          <w:b w:val="true"/>
          <w:color w:val="#000000"/>
          <w:sz w:val="24"/>
          <w:lang w:val="en-US"/>
          <w:spacing w:val="-8"/>
          <w:w w:val="105"/>
          <w:strike w:val="false"/>
          <w:u w:val="singl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434.45pt;height:8.65pt;z-index:-998;margin-left:0pt;margin-top:656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937" w:left="4608"/>
                    <w:spacing w:before="0" w:after="0" w:line="173" w:lineRule="exact"/>
                    <w:jc w:val="left"/>
                  </w:pPr>
                  <w:r>
                    <w:drawing>
                      <wp:inline>
                        <wp:extent cx="78740" cy="10985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40" cy="10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24"/>
          <w:lang w:val="en-US"/>
          <w:spacing w:val="-8"/>
          <w:w w:val="105"/>
          <w:strike w:val="false"/>
          <w:u w:val="single"/>
          <w:vertAlign w:val="baseline"/>
          <w:rFonts w:ascii="Times New Roman" w:hAnsi="Times New Roman"/>
        </w:rPr>
        <w:t xml:space="preserve">CARES Act ESG-COVID Recovery Round 2 and Round 1 Allocation Amounts</w:t>
      </w: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Birmingham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$2,710,962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$1,778,614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$4,489,576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Mobile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$1,319,253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$719,662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$2,038,915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Montgomery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$1,258,634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$504,662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$1,763,296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Jefferson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$1,485,652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$706,121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$2,191,773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Alabama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$13,860,804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$9,376,200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$23,237,004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Anchorage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$3,774,024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$521,193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$4,295,217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Alaska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$4,142,143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$914,566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$5,056,709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Glendale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$2,997,188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$749,455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$3,746,643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Mesa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$4,052,229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$1,130,003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$5,182,232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Phoenix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$19,212,248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$4,975,762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$24,188,010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Tempe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$1,790,686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$506,269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$2,296,955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Tucson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$5,562,939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$1,667,776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$7,230,715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Maricopa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$2,815,627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$905,900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$3,721,527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Pima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$2,284,682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$892,476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$3,177,158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AZ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Arizona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$16,373,488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$5,950,572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$22,324,060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Arkansas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$15,978,848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$7,808,010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$23,786,858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Anaheim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$8,700,250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$1,279,072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$9,979,322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Bakersfield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$3,465,304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$1,125,407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$4,590,711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Berkeley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$5,840,486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$808,117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$6,648,603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Chula Vista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$4,260,354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$693,583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$4,953,937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El Monte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$5,157,737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$520,314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$5,678,051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Escondido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$3,934,624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$552,803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$4,487,427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Fontana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$1,723,436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$619,569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$2,343,005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Fresno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$8,845,443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$2,103,510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$10,948,953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Garden Grove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$3,635,163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$602,486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$4,237,649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Glendale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$3,104,861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$569,417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$3,674,278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Irvine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$2,927,391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$558,059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$3,485,450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Long Beach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$13,496,694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$1,846,866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$15,343,560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Los Angeles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$167,431,509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$16,167,303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$183,598,812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Modesto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$3,360,962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$567,410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$3,928,372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Moreno Valley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$1,743,153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$630,838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$2,373,991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Oakland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$19,288,175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$2,275,917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$21,564,092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Ontario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$1,584,528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$552,724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$2,137,252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Oxnard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$4,492,650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$762,355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$5,255,005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Pasadena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$3,372,793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$608,269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$3,981,062</w:t>
            </w:r>
          </w:p>
        </w:tc>
      </w:tr>
      <w:tr>
        <w:trPr>
          <w:trHeight w:val="30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Pomona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$6,135,460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$629,131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$6,764,591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66" w:top="1518" w:right="1716" w:left="1775" w:header="720" w:footer="971"/>
          <w:footerReference w:type="even" r:id="drId10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Riverside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$3,126,622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$968,672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$4,095,294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Sacramento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$10,205,871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$1,453,941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$11,659,812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Salinas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$5,814,926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$617,245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$6,432,171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Bernardino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$3,422,960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$1,019,997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$4,442,957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San Diego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$22,796,116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$3,598,334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$26,394,450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Francisco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$43,605,003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$5,501,459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$49,106,462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San Jose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$32,836,839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$2,683,479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$35,520,318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Santa Ana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$11,598,442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$1,727,403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$13,325,845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Stockton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$6,041,201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$1,008,903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$7,050,104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Alameda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$5,146,924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$622,410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$5,769,334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Contra Costa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$9,283,441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$1,390,138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$10,673,579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Fresno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$3,371,431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$846,921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$4,218,352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Kern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$4,744,645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$1,446,317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$6,190,962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Los Angeles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$62,445,943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$6,605,000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$69,050,943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Orange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$4,992,579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$772,352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$5,764,931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Riverside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$6,352,897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$2,212,793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$8,565,690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Sacramento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$11,878,700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$1,747,452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$13,626,152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Bernardino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$6,401,870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$2,192,210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$8,594,080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Diego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$7,070,083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$1,257,717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$8,327,800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Joaquin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$4,326,957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$818,545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$5,145,502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Luis Obispo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$6,296,591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$563,034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$6,859,625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San Mateo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$5,144,656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$799,531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$5,944,187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Sonoma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$6,598,916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$564,000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$7,162,916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Stanislaus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$3,891,785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$698,717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$4,590,502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California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$271,730,986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$43,990,603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$315,721,589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Aurora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$4,171,770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$864,424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$5,036,194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Colorado Springs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$5,097,279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$887,124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$5,984,403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Denver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$9,042,223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$2,059,400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$11,101,623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Colorado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$25,884,522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$7,363,152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$33,247,674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Bridgeport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$1,690,527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$980,921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$2,671,448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Hartford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$1,987,972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$1,065,679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$3,053,651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 Haven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$1,509,315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$1,137,914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$2,647,229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Waterbury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$1,158,248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$644,210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$1,802,458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Connecticut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$12,591,306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$8,159,579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$20,750,885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Wilmington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$1,142,202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$647,693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$1,789,895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New Castle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$1,582,960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$690,366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$2,273,326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Delaware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$1,527,664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$807,114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$2,334,778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District Of Columbia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$23,124,727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$4,602,197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$27,726,924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1" w:top="1458" w:right="1716" w:left="1775" w:header="720" w:footer="971"/>
          <w:footerReference w:type="even" r:id="drId12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Hialeah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$2,698,307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$829,510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$3,527,817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Miami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$6,132,699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$1,633,034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$7,765,733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Orlando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$1,846,707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$670,317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$2,517,024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St Petersburg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$2,902,139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$539,562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$3,441,701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Tallahassee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$1,878,411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$561,203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$2,439,614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Tampa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$3,009,506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$963,359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$3,972,865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Broward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$3,048,655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$824,621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$3,873,276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Collier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$2,476,642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$707,128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$3,183,770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Jacksonville-Duval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$6,011,963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$1,905,803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$7,917,766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Hillsborough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$6,054,897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$2,129,659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$8,184,556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Lee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$1,818,474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$923,372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$2,741,846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Manatee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$2,135,435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$567,783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$2,703,218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Marion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$1,550,489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$582,834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$2,133,323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Miami-Dade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$10,715,429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$3,888,572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$14,604,001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Orange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$5,016,437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$2,024,224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$7,040,661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Palm Beach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$5,830,483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$1,941,176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$7,771,659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Pasco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$3,810,934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$834,545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$4,645,479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Pinellas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$3,997,774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$739,117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$4,736,891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Polk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$2,054,711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$1,073,500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$3,128,211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Sarasota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$1,872,211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$508,541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$2,380,752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Seminole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$1,183,769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$591,952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$1,775,721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Volusia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$1,904,452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$556,455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$2,460,907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Florida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$65,511,297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$20,384,797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$85,896,094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Atlanta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$10,965,024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$2,163,228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$13,128,252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Augusta-Richmond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$1,831,311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$539,590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$2,370,901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Macon-Bibb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$1,014,779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$565,638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$1,580,417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Savannah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$2,103,711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$693,166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$2,796,877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Clayton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$1,674,553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$780,931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$2,455,484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Cobb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$2,284,556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$988,062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$3,272,618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De Kalb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$3,818,678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$1,593,790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$5,412,468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Fulton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$1,955,204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$574,624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$2,529,828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Gwinnett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$3,319,598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$1,619,024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$4,938,622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Georgia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$29,498,276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$15,920,176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$45,418,452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Honolulu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$22,370,813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$2,429,569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$24,800,382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Hawaii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$8,466,976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$1,567,697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$10,034,673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Idaho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$11,446,141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$3,828,517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$15,274,658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Chicago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$30,488,553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$23,712,993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$54,201,546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Cicero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$784,688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$520,731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$1,305,419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13"/>
          <w:footerReference w:type="even" r:id="drId14"/>
          <w:footerReference w:type="first" r:id="drId15"/>
          <w:titlePg w:val="tru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Evanston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$419,890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$546,424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$966,314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Peoria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$795,903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$535,321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$1,331,224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Rockford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$1,157,575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$636,693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$1,794,268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Cook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$5,812,142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$3,049,979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$8,862,121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Du Page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$2,483,604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$1,031,548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$3,515,152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Lake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$1,520,868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$777,472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$2,298,340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Will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$973,315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$503,772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$1,477,087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Illinois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$24,712,992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$18,159,983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$42,872,975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Evansville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$941,088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$790,410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$1,731,498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Fort Wayne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$1,157,870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$598,952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$1,756,822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Gary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$1,093,079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$997,166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$2,090,245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Hammond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$649,003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$635,393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$1,284,396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Indianapolis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$7,122,695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$2,792,797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$9,915,492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South Bend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$787,585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$759,783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$1,547,368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Indiana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$18,411,073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$13,566,621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$31,977,694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Des Moines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$2,081,414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$1,108,334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$3,189,748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Sioux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$734,379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$503,317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$1,237,696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Iowa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$11,318,794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$9,574,948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$20,893,742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Kansas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$1,707,698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$683,879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$2,391,577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Topeka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$1,478,106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$559,469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$2,037,575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Wichita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$2,450,744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$850,376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$3,301,120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Kansas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$9,168,649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$5,683,703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$14,852,352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Lexington-Fayette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$3,226,490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$710,986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$3,937,476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Louisville-CDBG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$5,430,961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$3,390,700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$8,821,661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Kentucky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$14,526,981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$8,877,469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$23,404,450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Baton Rouge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$1,654,617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$955,859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$2,610,476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 Orleans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$4,594,009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$3,818,324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$8,412,333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Shreveport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$1,055,184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$564,476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$1,619,660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Jefferson Parish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$1,593,050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$756,079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$2,349,129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Louisiana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$12,026,377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$8,608,217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$20,634,594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Portland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$1,004,425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$573,734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$1,578,159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Maine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$7,832,189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$4,796,255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$12,628,444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Baltimore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$9,143,757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$6,571,738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$15,715,495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Anne Arundel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$1,313,638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$611,269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$1,924,907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Baltimore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$3,996,350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$1,230,869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$5,227,219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Montgomery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$4,847,976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$1,438,797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$6,286,773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Prince Georges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$4,944,919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$1,523,903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$6,468,822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Maryland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$10,739,230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$4,031,452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$14,770,682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1" w:top="1458" w:right="1716" w:left="1775" w:header="720" w:footer="976"/>
          <w:footerReference w:type="default" r:id="drId16"/>
          <w:footerReference w:type="even" r:id="drId17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Boston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$23,348,669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$5,195,210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$28,543,879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Cambridge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$2,268,869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$787,948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$3,056,817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Fall River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$1,275,287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$866,031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$2,141,318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Lawrence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$1,138,406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$526,348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$1,664,754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Lowell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$2,610,376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$632,876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$3,243,252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Lynn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$4,004,861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$751,083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$4,755,944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 Bedford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$1,576,274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$805,424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$2,381,698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$905,007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$578,393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$1,483,400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Quincy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$1,237,584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$550,900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$1,788,484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Somerville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$632,359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$750,831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$1,383,190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Springfield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$3,951,604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$1,160,338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$5,111,942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Worcester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$2,715,383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$1,327,821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$4,043,204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Massachusetts State Balan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$27,939,981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$16,474,052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$44,414,033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Dearborn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$505,688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$577,297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$1,082,985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Detroit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$9,124,129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$10,458,172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$19,582,301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Flint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$1,263,443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$1,178,500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$2,441,943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Grand Rapids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$2,039,593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$1,120,648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$3,160,241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Lansing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$1,282,028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$608,455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$1,890,483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Saginaw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$795,509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$644,300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$1,439,809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Genesee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$913,288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$553,817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$1,467,105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Kent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$1,111,219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$532,303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$1,643,522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Macomb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$801,422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$541,486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$1,342,908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Oakland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$2,033,828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$1,155,293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$3,189,121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Washtenaw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$1,794,203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$643,403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$2,437,606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Wayne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$1,295,238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$1,651,276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$2,946,514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Michigan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$22,253,746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$17,313,093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$39,566,839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Duluth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$1,252,530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$719,669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$1,972,199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Minneapolis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$9,697,637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$3,349,493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$13,047,130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 Paul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$5,943,414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$2,049,510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$7,992,924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Dakota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$1,537,643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$571,921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$2,109,564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Hennepin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$3,577,788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$878,034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$4,455,822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St Louis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$948,615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$578,797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$1,527,412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Minnesota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$15,253,281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$7,590,148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$22,843,429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Jackson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$1,444,552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$575,228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$2,019,780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Mississippi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$10,423,120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$8,171,221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$18,594,341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Kansas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$5,048,969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$2,296,434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$7,345,403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 Louis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$4,391,329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$5,432,145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$9,823,474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St Louis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$3,187,544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$1,703,217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$4,890,761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18"/>
          <w:footerReference w:type="even" r:id="drId19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Missouri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$18,747,277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$9,584,276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$28,331,553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Montana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$6,742,481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$2,524,355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$9,266,836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Lincoln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$2,320,897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$557,024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$2,877,921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Omaha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$4,214,066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$1,392,755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$5,606,821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Nebraska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$5,025,953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$3,482,410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$8,508,363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Las Vegas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$8,357,531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$1,537,579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$9,895,110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North Las Vegas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$3,071,445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$580,710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$3,652,155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Reno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$3,579,927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$670,428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$4,250,355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Clark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$12,264,384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$2,333,003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$14,597,387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Nevada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$6,179,560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$1,648,731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$7,828,291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Manchester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$1,810,236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$540,034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$2,350,270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New Hampshire State Balan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$4,797,314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$3,209,928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$8,007,242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Camden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$1,226,497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$723,110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$1,949,607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Jersey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$3,540,297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$1,682,731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$5,223,028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Newark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$5,458,961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$2,162,428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$7,621,389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Paterson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$2,356,424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$689,534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$3,045,958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Trenton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$1,197,016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$831,962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$2,028,978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Bergen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$3,222,784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$2,748,124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$5,970,908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Camden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$1,414,818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$732,928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$2,147,746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Essex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$2,974,183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$1,574,441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$4,548,624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Hudson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$1,486,554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$602,817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$2,089,371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Middlesex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$1,699,999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$589,645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$2,289,644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Monmouth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$1,772,793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$752,907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$2,525,700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Morris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$1,493,359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$587,279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$2,080,638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Union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$1,990,737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$1,369,186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$3,359,923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NJ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New Jersey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$27,263,010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$11,453,383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$38,716,393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Albuquerque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$6,659,248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$1,364,214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$8,023,462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New Mexico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$8,795,819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$4,140,483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$12,936,302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Albany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$1,805,790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$1,011,583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$2,817,373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Binghamton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$506,439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$577,638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$1,084,077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Brookhaven Town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$2,250,095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$672,466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$2,922,561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Buffalo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$2,942,601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$4,152,910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$7,095,511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Islip Town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$2,018,093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$611,328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$2,629,421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Mount Vernon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$1,304,856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$503,041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$1,807,897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New York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$331,859,870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$50,507,036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$382,366,906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Niagara Falls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$424,384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$699,724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$1,124,108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Rochester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$2,858,628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$2,444,707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$5,303,335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Schenectady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$994,996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$671,793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$1,666,789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20"/>
          <w:footerReference w:type="even" r:id="drId21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Syracuse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$1,749,868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$1,470,976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$3,220,844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Tonawanda Town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$360,334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$500,262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$860,596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Troy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$643,423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$539,890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$1,183,313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Utica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$486,089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$743,966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$1,230,055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Yonkers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$2,952,400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$1,038,286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$3,990,686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Erie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$680,472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$825,690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$1,506,162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Monroe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$934,597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$556,766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$1,491,363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Nassau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$10,647,918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$4,250,155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$14,898,073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Onondaga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$805,594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$607,576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$1,413,170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Orange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$1,343,670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$533,307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$1,876,977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Westchester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$4,169,699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$1,073,114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$5,242,813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New York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$28,791,380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$21,730,655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$50,522,035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Charlotte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$6,866,990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$1,765,572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$8,632,562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Durham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$2,060,285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$602,383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$2,662,668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Greensboro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$1,880,847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$675,621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$2,556,468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Raleigh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$3,503,113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$950,338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$4,453,451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Winston-Salem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$2,047,257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$660,748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$2,708,005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Wake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$1,709,995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$626,800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$2,336,795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North Carolina State Bala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$35,948,234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$18,423,179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$54,371,413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North Dakota State Balanc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$3,468,739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$1,673,841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$5,142,580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Akron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$1,828,930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$1,840,393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$3,669,323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Canton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$820,051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$783,834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$1,603,885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Cincinnati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$4,156,549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$3,495,228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$7,651,777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Cleveland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$5,494,002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$6,409,548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$11,903,550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Columbus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$8,102,095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$2,150,555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$10,252,650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Dayton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$1,860,397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$1,745,634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$3,606,031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Lakewood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$474,086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$601,062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$1,075,148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Springfield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$601,061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$560,655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$1,161,716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Toledo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$2,626,090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$2,249,248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$4,875,338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Youngstown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$657,102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$1,062,917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$1,720,019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Cuyahoga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$1,726,594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$1,204,362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$2,930,956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Franklin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$1,870,630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$595,590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$2,466,220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Hamilton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$1,862,722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$1,009,176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$2,871,898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Montgomery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$1,256,495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$584,510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$1,841,005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Ohio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$26,006,617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$21,324,293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$47,330,910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Oklahoma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$5,928,669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$1,475,283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$7,403,952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Tulsa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$4,116,095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$1,035,562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$5,151,657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Oklahoma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$12,234,915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$5,743,528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$17,978,443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22"/>
          <w:footerReference w:type="even" r:id="drId23"/>
          <w:footerReference w:type="first" r:id="drId24"/>
          <w:titlePg w:val="tru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Portland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$14,401,261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$2,578,424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$16,979,685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Clackamas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$2,528,172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$646,045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$3,174,217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Washington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$2,214,134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$662,721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$2,876,855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OR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Oregon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$49,430,143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$6,748,493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$56,178,636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Allentown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$992,811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$684,045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$1,676,856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Erie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$1,081,520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$931,503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$2,013,023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Harrisburg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$1,026,444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$578,217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$1,604,661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Lancaster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$809,254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$503,203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$1,312,457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Philadelphia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$22,293,192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$12,976,572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$35,269,764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Pittsburgh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$2,258,787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$4,193,562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$6,452,349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Reading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$1,426,367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$773,693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$2,200,060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Scranton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$622,150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$813,479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$1,435,629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Allegheny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$3,107,999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$4,157,814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$7,265,813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Beaver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$685,630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$984,814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$1,670,444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Berks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$1,051,989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$707,893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$1,759,882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Bucks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$1,400,101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$634,572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$2,034,673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Chester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$2,220,667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$764,283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$2,984,950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Delaware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$1,161,173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$1,100,183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$2,261,356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Lancaster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$1,573,181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$854,500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$2,427,681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Luzerne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$681,192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$1,226,697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$1,907,889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Montgomery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$1,606,408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$976,638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$2,583,046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Northampton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$709,925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$637,234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$1,347,159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Washington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$696,610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$1,055,755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$1,752,365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Westmoreland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$839,293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$1,041,331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$1,880,624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York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$1,061,680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$640,548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$1,702,228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Pennsylvania State Balanc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$19,930,907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$19,920,655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$39,851,562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Pawtucket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$624,909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$548,676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$1,173,585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Providence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$1,846,439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$1,521,038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$3,367,477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Woonsocket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$499,750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$399,231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$898,981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Rhode Island State Balanc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$3,275,621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$2,478,855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$5,754,476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Charleston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$890,215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$535,900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$1,426,115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Greenville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$1,935,622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$804,966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$2,740,588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Horry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$1,551,515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$622,221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$2,173,736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Lexington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$1,203,878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$542,372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$1,746,250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South Carolina State Bala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$18,346,818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$8,745,852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$27,092,670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South Dakota State Balanc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$5,554,958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$2,199,893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$7,754,851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Knoxville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$2,221,592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$513,272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$2,734,864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Memphis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$6,018,137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$2,014,017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$8,032,154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25"/>
          <w:footerReference w:type="even" r:id="drId26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Nashville-Davidson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$8,489,679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$1,549,066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$10,038,745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Tennessee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$22,438,703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$11,148,024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$33,586,727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Arlington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$2,977,176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$991,890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$3,969,066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Austin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$10,859,249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$2,354,866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$13,214,115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6"/>
                <w:w w:val="105"/>
                <w:strike w:val="false"/>
                <w:vertAlign w:val="baseline"/>
                <w:rFonts w:ascii="Calibri" w:hAnsi="Calibri"/>
              </w:rPr>
              <w:t xml:space="preserve">Brownsville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$1,964,765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$819,241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$2,784,006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Corpus Christi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$1,864,176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$803,100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$2,667,276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Dallas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$16,651,199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$4,453,269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$21,104,468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El Paso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$3,964,248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$1,902,228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$5,866,476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Fort Worth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$6,070,529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$2,202,959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$8,273,488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Garland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$2,004,381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$648,962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$2,653,343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Houston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$21,649,868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$7,252,552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$28,902,420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Irving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$2,420,874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$678,434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$3,099,308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Laredo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$2,552,555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$1,130,386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$3,682,941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Lubbock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$1,385,225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$632,362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$2,017,587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San Antonio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$12,950,577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$3,902,645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$16,853,222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Bexar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$1,859,901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$696,845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$2,556,746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Brazoria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$1,125,985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$526,152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$1,652,137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Dallas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$1,726,123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$667,003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$2,393,126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Fort Bend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$1,384,930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$936,303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$2,321,233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Harris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$7,999,883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$4,077,193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$12,077,076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Hidalgo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$4,242,374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$2,229,055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$6,471,429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Montgomery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$1,310,985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$775,483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$2,086,468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Tarrant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$2,734,655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$844,131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$3,578,786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TX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Texas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$64,537,937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$33,254,679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$97,792,616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UT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Salt Lake City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$2,946,449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$1,040,462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$3,986,911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UT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Salt Lake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$2,381,057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$751,093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$3,132,150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UT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Utah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$9,479,075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$4,633,641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$14,112,716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VT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Vermont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$4,424,450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$2,334,607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$6,759,057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Norfolk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$2,292,639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$1,328,583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$3,621,222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Richmond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$1,954,273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$1,351,959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$3,306,232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Roanoke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$894,995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$525,434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$1,420,429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Virginia Beach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$1,389,918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$606,131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$1,996,049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Fairfax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$6,581,782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$1,699,586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$8,281,368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Henrico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$1,154,186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$508,566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$1,662,752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Prince William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$2,423,373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$791,662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$3,215,035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VA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Virginia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$20,601,553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$10,375,562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$30,977,115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Seattle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$26,485,029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$2,829,807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$29,314,836</w:t>
            </w:r>
          </w:p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Spokane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$3,362,228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$991,359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$4,353,587</w:t>
            </w:r>
          </w:p>
        </w:tc>
      </w:tr>
    </w:tbl>
    <w:p>
      <w:pPr>
        <w:sectPr>
          <w:pgSz w:w="12240" w:h="15840" w:orient="portrait"/>
          <w:type w:val="nextPage"/>
          <w:textDirection w:val="lrTb"/>
          <w:pgMar w:bottom="876" w:top="1458" w:right="1716" w:left="1775" w:header="720" w:footer="976"/>
          <w:footerReference w:type="default" r:id="drId27"/>
          <w:footerReference w:type="even" r:id="drId28"/>
          <w:titlePg w:val="false"/>
        </w:sectPr>
      </w:pPr>
    </w:p>
    <w:tbl>
      <w:tblPr>
        <w:jc w:val="left"/>
        <w:tblInd w:w="10" w:type="dxa"/>
        <w:tblLayout w:type="fixed"/>
        <w:tblCellMar>
          <w:left w:w="0" w:type="dxa"/>
          <w:right w:w="0" w:type="dxa"/>
        </w:tblCellMar>
      </w:tblPr>
      <w:tblGrid>
        <w:gridCol w:w="965"/>
        <w:gridCol w:w="2861"/>
        <w:gridCol w:w="1617"/>
        <w:gridCol w:w="1608"/>
        <w:gridCol w:w="1618"/>
      </w:tblGrid>
      <w:tr>
        <w:trPr>
          <w:trHeight w:val="145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bottom"/>
            <w:shd w:val="clear" w:color="#EDEBE0" w:fill="#EDEBE0"/>
          </w:tcPr>
          <w:p>
            <w:pPr>
              <w:ind w:right="0" w:left="115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STA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bottom"/>
            <w:shd w:val="clear" w:color="#EDEBE0" w:fill="#EDEBE0"/>
          </w:tcPr>
          <w:p>
            <w:pPr>
              <w:ind w:right="0" w:left="110" w:firstLine="0"/>
              <w:spacing w:before="1116" w:after="0" w:line="240" w:lineRule="auto"/>
              <w:jc w:val="left"/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NAME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bottom"/>
            <w:shd w:val="clear" w:color="#EDEBE0" w:fill="#EDEBE0"/>
          </w:tcPr>
          <w:p>
            <w:pPr>
              <w:ind w:right="0" w:left="0" w:firstLine="0"/>
              <w:spacing w:before="612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Allocation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top"/>
            <w:shd w:val="clear" w:color="#EDEBE0" w:fill="#EDEBE0"/>
          </w:tcPr>
          <w:p>
            <w:pPr>
              <w:ind w:right="0" w:left="0" w:firstLine="0"/>
              <w:spacing w:before="108" w:after="0" w:line="240" w:lineRule="auto"/>
              <w:jc w:val="center"/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</w:pPr>
            <w:r>
              <w:rPr>
                <w:b w:val="true"/>
                <w:color w:val="#000000"/>
                <w:sz w:val="22"/>
                <w:lang w:val="en-US"/>
                <w:spacing w:val="-4"/>
                <w:w w:val="105"/>
                <w:strike w:val="false"/>
                <w:vertAlign w:val="baseline"/>
                <w:rFonts w:ascii="Calibri" w:hAnsi="Calibri"/>
              </w:rPr>
              <w:t xml:space="preserve">ESG CARES Act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Combined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Amounts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1 and
</w:t>
              <w:br/>
            </w:r>
            <w:r>
              <w:rPr>
                <w:b w:val="true"/>
                <w:color w:val="#000000"/>
                <w:sz w:val="22"/>
                <w:lang w:val="en-US"/>
                <w:spacing w:val="0"/>
                <w:w w:val="105"/>
                <w:strike w:val="false"/>
                <w:vertAlign w:val="baseline"/>
                <w:rFonts w:ascii="Calibri" w:hAnsi="Calibri"/>
              </w:rPr>
              <w:t xml:space="preserve">Round 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Tacoma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$2,809,518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$759,366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$3,568,884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King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$11,139,409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$964,066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$12,103,475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Pierce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$3,328,051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$908,579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$4,236,630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Snohomish County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$4,782,535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$914,410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$5,696,945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Washington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$46,343,357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$9,748,945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$56,092,302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Huntington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$559,361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$538,314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$1,097,675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WV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West Virginia State Balan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$7,166,583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$5,690,597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$12,857,180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Madison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$2,318,388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$572,541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$2,890,929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Milwaukee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$5,763,381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$4,785,445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$10,548,826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Racine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$649,751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$574,928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$1,224,679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Wisconsin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$19,761,322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$12,723,269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$32,484,591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WY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Wyoming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$2,901,686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$1,153,541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$4,055,227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American Samoas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$796,914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$269,228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$1,066,142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GU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Guam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$2,630,542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$888,696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$3,519,238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MP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Northern Mariana Islands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$815,225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$275,414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$1,090,639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Bayamon Municipio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$1,005,178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$672,662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$1,677,840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Caguas Municipio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$658,415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$516,886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$1,175,301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Carolina Municipio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$777,012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$546,069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$1,323,081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Ponce Municipio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$975,723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$726,203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$1,701,926</w:t>
            </w:r>
          </w:p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San Juan Municipio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$3,892,454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$2,137,879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$6,030,333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PR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Puerto Rico State Balance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$14,951,925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$12,479,000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$27,430,925</w:t>
            </w:r>
          </w:p>
        </w:tc>
      </w:tr>
      <w:tr>
        <w:trPr>
          <w:trHeight w:val="30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75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VI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836" w:type="auto"/>
            <w:textDirection w:val="lrTb"/>
            <w:vAlign w:val="center"/>
          </w:tcPr>
          <w:p>
            <w:pPr>
              <w:ind w:right="0" w:left="110" w:firstLine="0"/>
              <w:spacing w:before="0" w:after="0" w:line="240" w:lineRule="auto"/>
              <w:jc w:val="lef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Virgin Islands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453" w:type="auto"/>
            <w:textDirection w:val="lrTb"/>
            <w:vAlign w:val="center"/>
          </w:tcPr>
          <w:p>
            <w:pPr>
              <w:ind w:right="110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$1,677,320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61" w:type="auto"/>
            <w:textDirection w:val="lrTb"/>
            <w:vAlign w:val="center"/>
          </w:tcPr>
          <w:p>
            <w:pPr>
              <w:ind w:right="105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$566,662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8679" w:type="auto"/>
            <w:textDirection w:val="lrTb"/>
            <w:vAlign w:val="center"/>
          </w:tcPr>
          <w:p>
            <w:pPr>
              <w:ind w:right="111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</w:pPr>
            <w:r>
              <w:rPr>
                <w:color w:val="#000000"/>
                <w:sz w:val="22"/>
                <w:lang w:val="en-US"/>
                <w:spacing w:val="0"/>
                <w:w w:val="100"/>
                <w:strike w:val="false"/>
                <w:vertAlign w:val="baseline"/>
                <w:rFonts w:ascii="Calibri" w:hAnsi="Calibri"/>
              </w:rPr>
              <w:t xml:space="preserve">$2,243,982</w:t>
            </w:r>
          </w:p>
        </w:tc>
      </w:tr>
    </w:tbl>
    <w:p>
      <w:pPr>
        <w:spacing w:before="0" w:after="281" w:line="20" w:lineRule="exact"/>
      </w:pPr>
    </w:p>
    <w:p>
      <w:pPr>
        <w:ind w:right="0" w:left="1080" w:firstLine="0"/>
        <w:spacing w:before="0" w:after="0" w:line="273" w:lineRule="auto"/>
        <w:jc w:val="left"/>
        <w:tabs>
          <w:tab w:val="right" w:leader="none" w:pos="8564"/>
        </w:tabs>
        <w:rPr>
          <w:b w:val="true"/>
          <w:color w:val="#000000"/>
          <w:sz w:val="22"/>
          <w:lang w:val="en-US"/>
          <w:spacing w:val="-2"/>
          <w:w w:val="105"/>
          <w:strike w:val="false"/>
          <w:vertAlign w:val="baseline"/>
          <w:rFonts w:ascii="Calibri" w:hAnsi="Calibri"/>
        </w:rPr>
      </w:pPr>
      <w:r>
        <w:rPr>
          <w:b w:val="true"/>
          <w:color w:val="#000000"/>
          <w:sz w:val="22"/>
          <w:lang w:val="en-US"/>
          <w:spacing w:val="-2"/>
          <w:w w:val="105"/>
          <w:strike w:val="false"/>
          <w:vertAlign w:val="baseline"/>
          <w:rFonts w:ascii="Calibri" w:hAnsi="Calibri"/>
        </w:rPr>
        <w:t xml:space="preserve">TOTAL	</w:t>
      </w:r>
      <w:r>
        <w:rPr>
          <w:b w:val="true"/>
          <w:color w:val="#000000"/>
          <w:sz w:val="22"/>
          <w:lang w:val="en-US"/>
          <w:spacing w:val="3"/>
          <w:w w:val="105"/>
          <w:strike w:val="false"/>
          <w:vertAlign w:val="baseline"/>
          <w:rFonts w:ascii="Calibri" w:hAnsi="Calibri"/>
        </w:rPr>
        <w:t xml:space="preserve">$2,960,000,000 $1,000,000,000 $3,960,000,000</w:t>
      </w:r>
    </w:p>
    <w:sectPr>
      <w:pgSz w:w="12240" w:h="15840" w:orient="portrait"/>
      <w:type w:val="nextPage"/>
      <w:textDirection w:val="lrTb"/>
      <w:pgMar w:bottom="876" w:top="1458" w:right="1716" w:left="1775" w:header="720" w:footer="976"/>
      <w:footerReference w:type="default" r:id="drId29"/>
      <w:footerReference w:type="even" r:id="drId3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" coordsize="21600,21600" o:spt="202" path="m,l,21600r21600,l21600,xe">
          <v:stroke joinstyle="miter"/>
          <v:path gradientshapeok="t" o:connecttype="rect"/>
        </v:shapetype>
        <v:shape id="_x0000_s0" type="#_x0000_t1" filled="f" stroked="f" style="position:absolute;width:470.25pt;height:11.5pt;z-index:-1000;margin-left:70.8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0"/>
                  <w:framePr w:hAnchor="page" w:vAnchor="text" w:x="1417" w:w="9405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7" coordsize="21600,21600" o:spt="202" path="m,l,21600r21600,l21600,xe">
          <v:stroke joinstyle="miter"/>
          <v:path gradientshapeok="t" o:connecttype="rect"/>
        </v:shapetype>
        <v:shape id="_x0000_s6" type="#_x0000_t7" filled="f" stroked="f" style="position:absolute;width:433.45pt;height:11.5pt;z-index:-994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1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8" coordsize="21600,21600" o:spt="202" path="m,l,21600r21600,l21600,xe">
          <v:stroke joinstyle="miter"/>
          <v:path gradientshapeok="t" o:connecttype="rect"/>
        </v:shapetype>
        <v:shape id="_x0000_s7" type="#_x0000_t8" filled="f" stroked="f" style="position:absolute;width:433.45pt;height:11.5pt;z-index:-993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2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9" coordsize="21600,21600" o:spt="202" path="m,l,21600r21600,l21600,xe">
          <v:stroke joinstyle="miter"/>
          <v:path gradientshapeok="t" o:connecttype="rect"/>
        </v:shapetype>
        <v:shape id="_x0000_s8" type="#_x0000_t9" filled="f" stroked="f" style="position:absolute;width:433.45pt;height:11.5pt;z-index:-992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3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0" coordsize="21600,21600" o:spt="202" path="m,l,21600r21600,l21600,xe">
          <v:stroke joinstyle="miter"/>
          <v:path gradientshapeok="t" o:connecttype="rect"/>
        </v:shapetype>
        <v:shape id="_x0000_s9" type="#_x0000_t10" filled="f" stroked="f" style="position:absolute;width:433.45pt;height:11.5pt;z-index:-991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4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1" coordsize="21600,21600" o:spt="202" path="m,l,21600r21600,l21600,xe">
          <v:stroke joinstyle="miter"/>
          <v:path gradientshapeok="t" o:connecttype="rect"/>
        </v:shapetype>
        <v:shape id="_x0000_s10" type="#_x0000_t11" filled="f" stroked="f" style="position:absolute;width:433.45pt;height:11.5pt;z-index:-990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5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2" coordsize="21600,21600" o:spt="202" path="m,l,21600r21600,l21600,xe">
          <v:stroke joinstyle="miter"/>
          <v:path gradientshapeok="t" o:connecttype="rect"/>
        </v:shapetype>
        <v:shape id="_x0000_s11" type="#_x0000_t12" filled="f" stroked="f" style="position:absolute;width:433.45pt;height:11.5pt;z-index:-989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6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3" coordsize="21600,21600" o:spt="202" path="m,l,21600r21600,l21600,xe">
          <v:stroke joinstyle="miter"/>
          <v:path gradientshapeok="t" o:connecttype="rect"/>
        </v:shapetype>
        <v:shape id="_x0000_s12" type="#_x0000_t13" filled="f" stroked="f" style="position:absolute;width:433.45pt;height:11.5pt;z-index:-988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7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4" coordsize="21600,21600" o:spt="202" path="m,l,21600r21600,l21600,xe">
          <v:stroke joinstyle="miter"/>
          <v:path gradientshapeok="t" o:connecttype="rect"/>
        </v:shapetype>
        <v:shape id="_x0000_s13" type="#_x0000_t14" filled="f" stroked="f" style="position:absolute;width:433.45pt;height:11.5pt;z-index:-987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8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5" coordsize="21600,21600" o:spt="202" path="m,l,21600r21600,l21600,xe">
          <v:stroke joinstyle="miter"/>
          <v:path gradientshapeok="t" o:connecttype="rect"/>
        </v:shapetype>
        <v:shape id="_x0000_s14" type="#_x0000_t15" filled="f" stroked="f" style="position:absolute;width:433.45pt;height:11.5pt;z-index:-986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19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6" coordsize="21600,21600" o:spt="202" path="m,l,21600r21600,l21600,xe">
          <v:stroke joinstyle="miter"/>
          <v:path gradientshapeok="t" o:connecttype="rect"/>
        </v:shapetype>
        <v:shape id="_x0000_s15" type="#_x0000_t16" filled="f" stroked="f" style="position:absolute;width:433.45pt;height:11.5pt;z-index:-985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2" coordsize="21600,21600" o:spt="202" path="m,l,21600r21600,l21600,xe">
          <v:stroke joinstyle="miter"/>
          <v:path gradientshapeok="t" o:connecttype="rect"/>
        </v:shapetype>
        <v:shape id="_x0000_s1" type="#_x0000_t2" filled="f" stroked="f" style="position:absolute;width:470.25pt;height:11.5pt;z-index:-999;margin-left:70.8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0"/>
                  <w:framePr w:hAnchor="page" w:vAnchor="text" w:x="1417" w:w="9405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  <w:t xml:space="preserve">2</w:t>
                </w:r>
              </w:p>
            </w:txbxContent>
          </v:textbox>
        </v:shape>
      </w:pict>
    </w:r>
  </w:p>
</w:ftr>
</file>

<file path=word/footer20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7" coordsize="21600,21600" o:spt="202" path="m,l,21600r21600,l21600,xe">
          <v:stroke joinstyle="miter"/>
          <v:path gradientshapeok="t" o:connecttype="rect"/>
        </v:shapetype>
        <v:shape id="_x0000_s16" type="#_x0000_t17" filled="f" stroked="f" style="position:absolute;width:433.45pt;height:11.5pt;z-index:-984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21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8" coordsize="21600,21600" o:spt="202" path="m,l,21600r21600,l21600,xe">
          <v:stroke joinstyle="miter"/>
          <v:path gradientshapeok="t" o:connecttype="rect"/>
        </v:shapetype>
        <v:shape id="_x0000_s17" type="#_x0000_t18" filled="f" stroked="f" style="position:absolute;width:433.45pt;height:11.5pt;z-index:-983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22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9" coordsize="21600,21600" o:spt="202" path="m,l,21600r21600,l21600,xe">
          <v:stroke joinstyle="miter"/>
          <v:path gradientshapeok="t" o:connecttype="rect"/>
        </v:shapetype>
        <v:shape id="_x0000_s18" type="#_x0000_t19" filled="f" stroked="f" style="position:absolute;width:433.45pt;height:11.5pt;z-index:-982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23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20" coordsize="21600,21600" o:spt="202" path="m,l,21600r21600,l21600,xe">
          <v:stroke joinstyle="miter"/>
          <v:path gradientshapeok="t" o:connecttype="rect"/>
        </v:shapetype>
        <v:shape id="_x0000_s19" type="#_x0000_t20" filled="f" stroked="f" style="position:absolute;width:433.45pt;height:11.5pt;z-index:-981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24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21" coordsize="21600,21600" o:spt="202" path="m,l,21600r21600,l21600,xe">
          <v:stroke joinstyle="miter"/>
          <v:path gradientshapeok="t" o:connecttype="rect"/>
        </v:shapetype>
        <v:shape id="_x0000_s20" type="#_x0000_t21" filled="f" stroked="f" style="position:absolute;width:433.45pt;height:11.5pt;z-index:-980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536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0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4608"/>
      <w:spacing w:before="0" w:after="0" w:line="240" w:lineRule="auto"/>
      <w:jc w:val="left"/>
      <w:tabs>
        <w:tab w:val="left" w:leader="none" w:pos="4700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fldChar w:fldCharType="begin"/>
    </w:r>
    <w:r>
      <w:instrText xml:space="preserve">PAGE</w:instrText>
    </w:r>
    <w:r>
      <w:fldChar w:fldCharType="end"/>
    </w:r>
    <w:r>
      <w:rPr>
        <w:color w:val="#000000"/>
        <w:sz w:val="24"/>
        <w:lang w:val="en-US"/>
        <w:spacing w:val="0"/>
        <w:w w:val="110"/>
        <w:strike w:val="false"/>
        <w:vertAlign w:val="baseline"/>
        <w:rFonts w:ascii="Times New Roman" w:hAnsi="Times New Roman"/>
      </w:rPr>
    </w:r>
  </w:p>
</w:ftr>
</file>

<file path=word/footer4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4608"/>
      <w:spacing w:before="0" w:after="0" w:line="240" w:lineRule="auto"/>
      <w:jc w:val="left"/>
      <w:tabs>
        <w:tab w:val="left" w:leader="none" w:pos="4700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fldChar w:fldCharType="begin"/>
    </w:r>
    <w:r>
      <w:instrText xml:space="preserve">PAGE</w:instrText>
    </w:r>
    <w:r>
      <w:fldChar w:fldCharType="end"/>
    </w:r>
    <w:r>
      <w:rPr>
        <w:color w:val="#000000"/>
        <w:sz w:val="24"/>
        <w:lang w:val="en-US"/>
        <w:spacing w:val="0"/>
        <w:w w:val="110"/>
        <w:strike w:val="false"/>
        <w:vertAlign w:val="baseline"/>
        <w:rFonts w:ascii="Times New Roman" w:hAnsi="Times New Roman"/>
      </w:rPr>
    </w:r>
  </w:p>
</w:ftr>
</file>

<file path=word/footer5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4608"/>
      <w:spacing w:before="0" w:after="0" w:line="240" w:lineRule="auto"/>
      <w:jc w:val="left"/>
      <w:tabs>
        <w:tab w:val="left" w:leader="none" w:pos="4700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fldChar w:fldCharType="begin"/>
    </w:r>
    <w:r>
      <w:instrText xml:space="preserve">PAGE</w:instrText>
    </w:r>
    <w:r>
      <w:fldChar w:fldCharType="end"/>
    </w:r>
    <w:r>
      <w:rPr>
        <w:color w:val="#000000"/>
        <w:sz w:val="24"/>
        <w:lang w:val="en-US"/>
        <w:spacing w:val="0"/>
        <w:w w:val="110"/>
        <w:strike w:val="false"/>
        <w:vertAlign w:val="baseline"/>
        <w:rFonts w:ascii="Times New Roman" w:hAnsi="Times New Roman"/>
      </w:rPr>
    </w:r>
  </w:p>
</w:ftr>
</file>

<file path=word/footer6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4608"/>
      <w:spacing w:before="0" w:after="0" w:line="240" w:lineRule="auto"/>
      <w:jc w:val="left"/>
      <w:tabs>
        <w:tab w:val="left" w:leader="none" w:pos="4700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fldChar w:fldCharType="begin"/>
    </w:r>
    <w:r>
      <w:instrText xml:space="preserve">PAGE</w:instrText>
    </w:r>
    <w:r>
      <w:fldChar w:fldCharType="end"/>
    </w:r>
    <w:r>
      <w:rPr>
        <w:color w:val="#000000"/>
        <w:sz w:val="24"/>
        <w:lang w:val="en-US"/>
        <w:spacing w:val="0"/>
        <w:w w:val="110"/>
        <w:strike w:val="false"/>
        <w:vertAlign w:val="baseline"/>
        <w:rFonts w:ascii="Times New Roman" w:hAnsi="Times New Roman"/>
      </w:rPr>
    </w:r>
  </w:p>
</w:ftr>
</file>

<file path=word/footer7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4" coordsize="21600,21600" o:spt="202" path="m,l,21600r21600,l21600,xe">
          <v:stroke joinstyle="miter"/>
          <v:path gradientshapeok="t" o:connecttype="rect"/>
        </v:shapetype>
        <v:shape id="_x0000_s3" type="#_x0000_t4" filled="f" stroked="f" style="position:absolute;width:433.45pt;height:11.5pt;z-index:-997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8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5" coordsize="21600,21600" o:spt="202" path="m,l,21600r21600,l21600,xe">
          <v:stroke joinstyle="miter"/>
          <v:path gradientshapeok="t" o:connecttype="rect"/>
        </v:shapetype>
        <v:shape id="_x0000_s4" type="#_x0000_t5" filled="f" stroked="f" style="position:absolute;width:433.45pt;height:11.5pt;z-index:-996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footer9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6" coordsize="21600,21600" o:spt="202" path="m,l,21600r21600,l21600,xe">
          <v:stroke joinstyle="miter"/>
          <v:path gradientshapeok="t" o:connecttype="rect"/>
        </v:shapetype>
        <v:shape id="_x0000_s5" type="#_x0000_t6" filled="f" stroked="f" style="position:absolute;width:433.45pt;height:11.5pt;z-index:-995;margin-left:89.2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4608"/>
                  <w:spacing w:before="0" w:after="0" w:line="240" w:lineRule="auto"/>
                  <w:jc w:val="left"/>
                  <w:framePr w:hAnchor="page" w:vAnchor="text" w:x="1785" w:w="8669" w:h="230" w:hSpace="0" w:vSpace="0" w:wrap="3"/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PAGE</w:instrText>
                </w:r>
                <w:r>
                  <w:fldChar w:fldCharType="end"/>
                </w:r>
                <w:r>
                  <w:rPr>
                    <w:color w:val="#000000"/>
                    <w:sz w:val="24"/>
                    <w:lang w:val="en-US"/>
                    <w:spacing w:val="0"/>
                    <w:w w:val="105"/>
                    <w:strike w:val="false"/>
                    <w:vertAlign w:val="baseline"/>
                    <w:rFonts w:ascii="Times New Roman" w:hAnsi="Times New Roman"/>
                  </w:rPr>
                </w:r>
              </w:p>
            </w:txbxContent>
          </v:textbox>
        </v:shape>
      </w:pict>
    </w:r>
  </w:p>
</w:ft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504"/>
        </w:tabs>
      </w:pPr>
      <w:rPr>
        <w:b w:val="true"/>
        <w:color w:val="#000000"/>
        <w:sz w:val="24"/>
        <w:lang w:val="en-US"/>
        <w:spacing w:val="-9"/>
        <w:w w:val="105"/>
        <w:strike w:val="false"/>
        <w:vertAlign w:val="baseline"/>
        <w:rFonts w:ascii="Symbol" w:hAnsi="Symbol"/>
      </w:rPr>
    </w:lvl>
  </w:abstract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evenAndOddHeaders w:val="true"/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style w:type="paragraph" w:styleId="Footer">
    <w:name w:val="footer"/>
    <w:basedOn w:val="Normal"/>
    <w:link w:val="FooterChar"/>
    <w:uiPriority w:val="99"/>
    <w:semiHidden/>
    <w:unhideWhenUsed/>
    <w:pPr>
      <w:spacing w:after="0" w:line="240" w:lineRule="auto"/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.xml" Id="drId1" /><Relationship Type="http://schemas.openxmlformats.org/officeDocument/2006/relationships/footer" Target="/word/footer2.xml" Id="drId4" /><Relationship Type="http://schemas.openxmlformats.org/officeDocument/2006/relationships/numbering" Target="/word/numbering.xml" Id="drId5" /><Relationship Type="http://schemas.openxmlformats.org/officeDocument/2006/relationships/hyperlink" Target="https://www.hudexchange.info/resource/3031/pit-and-hic-data-since-2007/" TargetMode="External" Id="drId6" /><Relationship Type="http://schemas.openxmlformats.org/officeDocument/2006/relationships/hyperlink" Target="https://www.huduser.gov/portal/datasets/cp.html" TargetMode="External" Id="drId7" /><Relationship Type="http://schemas.openxmlformats.org/officeDocument/2006/relationships/footer" Target="/word/footer3.xml" Id="drId8" /><Relationship Type="http://schemas.openxmlformats.org/officeDocument/2006/relationships/footer" Target="/word/footer4.xml" Id="drId9" /><Relationship Type="http://schemas.openxmlformats.org/officeDocument/2006/relationships/footer" Target="/word/footer5.xml" Id="drId10" /><Relationship Type="http://schemas.openxmlformats.org/officeDocument/2006/relationships/image" Target="/word/media/image1.png" Id="drId11" /><Relationship Type="http://schemas.openxmlformats.org/officeDocument/2006/relationships/footer" Target="/word/footer6.xml" Id="drId12" /><Relationship Type="http://schemas.openxmlformats.org/officeDocument/2006/relationships/footer" Target="/word/footer7.xml" Id="drId13" /><Relationship Type="http://schemas.openxmlformats.org/officeDocument/2006/relationships/footer" Target="/word/footer8.xml" Id="drId14" /><Relationship Type="http://schemas.openxmlformats.org/officeDocument/2006/relationships/footer" Target="/word/footer9.xml" Id="drId15" /><Relationship Type="http://schemas.openxmlformats.org/officeDocument/2006/relationships/footer" Target="/word/footer10.xml" Id="drId16" /><Relationship Type="http://schemas.openxmlformats.org/officeDocument/2006/relationships/footer" Target="/word/footer11.xml" Id="drId17" /><Relationship Type="http://schemas.openxmlformats.org/officeDocument/2006/relationships/footer" Target="/word/footer12.xml" Id="drId18" /><Relationship Type="http://schemas.openxmlformats.org/officeDocument/2006/relationships/footer" Target="/word/footer13.xml" Id="drId19" /><Relationship Type="http://schemas.openxmlformats.org/officeDocument/2006/relationships/footer" Target="/word/footer14.xml" Id="drId20" /><Relationship Type="http://schemas.openxmlformats.org/officeDocument/2006/relationships/footer" Target="/word/footer15.xml" Id="drId21" /><Relationship Type="http://schemas.openxmlformats.org/officeDocument/2006/relationships/footer" Target="/word/footer16.xml" Id="drId22" /><Relationship Type="http://schemas.openxmlformats.org/officeDocument/2006/relationships/footer" Target="/word/footer17.xml" Id="drId23" /><Relationship Type="http://schemas.openxmlformats.org/officeDocument/2006/relationships/footer" Target="/word/footer18.xml" Id="drId24" /><Relationship Type="http://schemas.openxmlformats.org/officeDocument/2006/relationships/footer" Target="/word/footer19.xml" Id="drId25" /><Relationship Type="http://schemas.openxmlformats.org/officeDocument/2006/relationships/footer" Target="/word/footer20.xml" Id="drId26" /><Relationship Type="http://schemas.openxmlformats.org/officeDocument/2006/relationships/footer" Target="/word/footer21.xml" Id="drId27" /><Relationship Type="http://schemas.openxmlformats.org/officeDocument/2006/relationships/footer" Target="/word/footer22.xml" Id="drId28" /><Relationship Type="http://schemas.openxmlformats.org/officeDocument/2006/relationships/footer" Target="/word/footer23.xml" Id="drId29" /><Relationship Type="http://schemas.openxmlformats.org/officeDocument/2006/relationships/footer" Target="/word/footer24.xml" Id="drId30" /><Relationship Type="http://schemas.openxmlformats.org/officeDocument/2006/relationships/settings" Target="/word/settings.xml" Id="drId0" /><Relationship Type="http://schemas.openxmlformats.org/officeDocument/2006/relationships/styles" Target="/word/styles.xml" Id="drId2" /><Relationship Type="http://schemas.openxmlformats.org/wordprocessingml/2006/fontTable" Target="/word/fontTable.xml" Id="drId3" /></Relationships>
</file>