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935A1" w14:textId="06E5A637" w:rsidR="00C923DE" w:rsidRDefault="00C923DE" w:rsidP="00027812">
      <w:pPr>
        <w:pStyle w:val="BlockText"/>
      </w:pPr>
      <w:r>
        <w:t>To:</w:t>
      </w:r>
      <w:r>
        <w:tab/>
        <w:t>Advocates for Unemployed Workers</w:t>
      </w:r>
    </w:p>
    <w:p w14:paraId="33264A2C" w14:textId="6869B647" w:rsidR="00C923DE" w:rsidRDefault="00C923DE" w:rsidP="00027812">
      <w:pPr>
        <w:pStyle w:val="BlockText"/>
      </w:pPr>
      <w:r>
        <w:t>From:</w:t>
      </w:r>
      <w:r>
        <w:tab/>
        <w:t>Monica Halas</w:t>
      </w:r>
    </w:p>
    <w:p w14:paraId="3A82B914" w14:textId="41822630" w:rsidR="00A40F25" w:rsidRDefault="00A40F25" w:rsidP="00956DF5">
      <w:pPr>
        <w:pStyle w:val="BlockText"/>
        <w:ind w:left="720" w:hanging="720"/>
      </w:pPr>
      <w:r>
        <w:t>Re:</w:t>
      </w:r>
      <w:r>
        <w:tab/>
        <w:t xml:space="preserve">DUA Policy on Caregiving Responsibilities </w:t>
      </w:r>
      <w:r w:rsidR="00956DF5">
        <w:t>and Availability &amp; Suitability Concepts During COVID-19</w:t>
      </w:r>
    </w:p>
    <w:p w14:paraId="14B7D21C" w14:textId="3F81FD8A" w:rsidR="00F22F02" w:rsidRDefault="00956DF5" w:rsidP="00956DF5">
      <w:pPr>
        <w:pStyle w:val="BlockText"/>
        <w:pBdr>
          <w:bottom w:val="single" w:sz="12" w:space="1" w:color="auto"/>
        </w:pBdr>
        <w:ind w:left="720" w:hanging="720"/>
      </w:pPr>
      <w:r>
        <w:t xml:space="preserve">Date:    </w:t>
      </w:r>
      <w:r w:rsidR="00F22F02">
        <w:t>October 9, 2020</w:t>
      </w:r>
    </w:p>
    <w:p w14:paraId="52DAFC04" w14:textId="1B942084" w:rsidR="00F22F02" w:rsidRDefault="00F22F02" w:rsidP="00BF1375">
      <w:pPr>
        <w:pStyle w:val="BlockText"/>
      </w:pPr>
      <w:r>
        <w:t xml:space="preserve">On October 8, 2020, the </w:t>
      </w:r>
      <w:r w:rsidR="00442A8D">
        <w:t xml:space="preserve">Massachusetts </w:t>
      </w:r>
      <w:r>
        <w:t>Department of Unemployment Assistance (DUA) that administer</w:t>
      </w:r>
      <w:r w:rsidR="0008592F">
        <w:t>s</w:t>
      </w:r>
      <w:r w:rsidR="00BF1375">
        <w:t xml:space="preserve"> </w:t>
      </w:r>
      <w:r w:rsidR="00D000B3">
        <w:t>unempl</w:t>
      </w:r>
      <w:r w:rsidR="0008592F">
        <w:t>oy</w:t>
      </w:r>
      <w:r w:rsidR="00E97F9E">
        <w:t xml:space="preserve">ment programs </w:t>
      </w:r>
      <w:r w:rsidR="00B6626E">
        <w:t xml:space="preserve">issued a policy </w:t>
      </w:r>
      <w:r w:rsidR="00A9207F">
        <w:t xml:space="preserve">describing </w:t>
      </w:r>
      <w:r w:rsidR="005377EC">
        <w:t>how certain aspects of unemployment law are to be applied during the pandemic.</w:t>
      </w:r>
      <w:r w:rsidR="00170878">
        <w:rPr>
          <w:rStyle w:val="FootnoteReference"/>
        </w:rPr>
        <w:footnoteReference w:id="1"/>
      </w:r>
      <w:r w:rsidR="005377EC">
        <w:t xml:space="preserve">  </w:t>
      </w:r>
    </w:p>
    <w:p w14:paraId="78A6BCE0" w14:textId="0C248638" w:rsidR="005377EC" w:rsidRDefault="00333EFF" w:rsidP="00BF1375">
      <w:pPr>
        <w:pStyle w:val="BlockText"/>
      </w:pPr>
      <w:r>
        <w:t xml:space="preserve">Ordinarily, </w:t>
      </w:r>
      <w:r w:rsidR="00225B00">
        <w:t xml:space="preserve">under Massachusetts law, </w:t>
      </w:r>
      <w:r>
        <w:t>worker</w:t>
      </w:r>
      <w:r w:rsidR="00F90E3F">
        <w:t xml:space="preserve">s are </w:t>
      </w:r>
      <w:r>
        <w:t xml:space="preserve">eligible for unemployment </w:t>
      </w:r>
      <w:r w:rsidR="00F90E3F">
        <w:t xml:space="preserve">benefits </w:t>
      </w:r>
      <w:r w:rsidR="00225B00">
        <w:t xml:space="preserve">only </w:t>
      </w:r>
      <w:r>
        <w:t xml:space="preserve">if they can show that they are </w:t>
      </w:r>
      <w:r w:rsidR="00225B00">
        <w:t>“</w:t>
      </w:r>
      <w:r w:rsidR="00225B00" w:rsidRPr="00225B00">
        <w:t xml:space="preserve">capable of, available, and actively seeking work in </w:t>
      </w:r>
      <w:r w:rsidR="00AA1EC6">
        <w:t>[their]</w:t>
      </w:r>
      <w:r w:rsidR="00225B00" w:rsidRPr="00225B00">
        <w:t xml:space="preserve"> usual occupation or any other occupation for which </w:t>
      </w:r>
      <w:r w:rsidR="004751F6">
        <w:t>[they are]</w:t>
      </w:r>
      <w:r w:rsidR="00225B00" w:rsidRPr="00225B00">
        <w:t>reasonably fitted</w:t>
      </w:r>
      <w:r w:rsidR="004751F6">
        <w:t>.”</w:t>
      </w:r>
      <w:r w:rsidR="004751F6">
        <w:rPr>
          <w:rStyle w:val="FootnoteReference"/>
        </w:rPr>
        <w:footnoteReference w:id="2"/>
      </w:r>
      <w:r w:rsidR="00A967D9">
        <w:t xml:space="preserve">  </w:t>
      </w:r>
      <w:r w:rsidR="00F3626F">
        <w:t>T</w:t>
      </w:r>
      <w:r w:rsidR="005E3AB3">
        <w:t>his requirement applies to “</w:t>
      </w:r>
      <w:r w:rsidR="005E3AB3" w:rsidRPr="00E11B32">
        <w:rPr>
          <w:u w:val="single"/>
        </w:rPr>
        <w:t>suitable work</w:t>
      </w:r>
      <w:r w:rsidR="00E11B32">
        <w:rPr>
          <w:u w:val="single"/>
        </w:rPr>
        <w:t>”</w:t>
      </w:r>
      <w:r w:rsidR="00E606A3">
        <w:t xml:space="preserve"> which workers do not have “</w:t>
      </w:r>
      <w:r w:rsidR="00E606A3" w:rsidRPr="00E11B32">
        <w:rPr>
          <w:u w:val="single"/>
        </w:rPr>
        <w:t>good cause</w:t>
      </w:r>
      <w:r w:rsidR="00E606A3">
        <w:t>” to refuse.</w:t>
      </w:r>
      <w:r w:rsidR="00E606A3">
        <w:rPr>
          <w:rStyle w:val="FootnoteReference"/>
        </w:rPr>
        <w:footnoteReference w:id="3"/>
      </w:r>
      <w:r w:rsidR="00E91CBD">
        <w:t xml:space="preserve">  Additionally, in order to be eligible in care-giving situations, workers must</w:t>
      </w:r>
      <w:r w:rsidR="00C80DC4">
        <w:t>,</w:t>
      </w:r>
      <w:r w:rsidR="00E91CBD">
        <w:t xml:space="preserve"> at a minimum</w:t>
      </w:r>
      <w:r w:rsidR="00C80DC4">
        <w:t>,</w:t>
      </w:r>
      <w:r w:rsidR="00E91CBD">
        <w:t xml:space="preserve"> be eligible for part-time work.</w:t>
      </w:r>
      <w:r w:rsidR="00F26574">
        <w:rPr>
          <w:rStyle w:val="FootnoteReference"/>
        </w:rPr>
        <w:footnoteReference w:id="4"/>
      </w:r>
    </w:p>
    <w:p w14:paraId="0D66688A" w14:textId="02D785ED" w:rsidR="00B76CC4" w:rsidRDefault="00AD7447" w:rsidP="00BF1375">
      <w:pPr>
        <w:pStyle w:val="BlockText"/>
      </w:pPr>
      <w:r>
        <w:t>However, d</w:t>
      </w:r>
      <w:r w:rsidR="00AA6B3E">
        <w:t xml:space="preserve">uring the pandemic, the </w:t>
      </w:r>
      <w:r w:rsidR="00022BB5">
        <w:t xml:space="preserve">United States </w:t>
      </w:r>
      <w:r w:rsidR="00AA6B3E">
        <w:t xml:space="preserve">Department of Labor </w:t>
      </w:r>
      <w:r w:rsidR="00022BB5">
        <w:t xml:space="preserve">(USDOL) </w:t>
      </w:r>
      <w:r w:rsidR="008728DD">
        <w:t xml:space="preserve">has afforded </w:t>
      </w:r>
      <w:r w:rsidR="00AA6B3E">
        <w:t xml:space="preserve">states </w:t>
      </w:r>
      <w:r w:rsidR="008728DD">
        <w:t>significant</w:t>
      </w:r>
      <w:r w:rsidR="00AA6B3E">
        <w:t xml:space="preserve"> flexibility to expand interpretations of their laws </w:t>
      </w:r>
      <w:r w:rsidR="00C0769E">
        <w:t xml:space="preserve">in the context of work search and the refusal of </w:t>
      </w:r>
      <w:r w:rsidR="00627392">
        <w:t>work</w:t>
      </w:r>
      <w:r w:rsidR="00C14D5E">
        <w:t>.</w:t>
      </w:r>
      <w:r w:rsidR="002F37F5">
        <w:rPr>
          <w:rStyle w:val="FootnoteReference"/>
        </w:rPr>
        <w:footnoteReference w:id="5"/>
      </w:r>
      <w:r w:rsidR="00C14D5E">
        <w:t xml:space="preserve">  </w:t>
      </w:r>
    </w:p>
    <w:p w14:paraId="08F6EF5A" w14:textId="1B933E05" w:rsidR="003B54ED" w:rsidRDefault="00C14D5E" w:rsidP="00BF1375">
      <w:pPr>
        <w:pStyle w:val="BlockText"/>
      </w:pPr>
      <w:r>
        <w:t xml:space="preserve">As a result, </w:t>
      </w:r>
      <w:r w:rsidR="00417718">
        <w:t xml:space="preserve">DUA’s </w:t>
      </w:r>
      <w:r>
        <w:t xml:space="preserve">policy </w:t>
      </w:r>
      <w:r w:rsidR="003C031E">
        <w:t xml:space="preserve">acknowledges </w:t>
      </w:r>
      <w:r w:rsidR="00AB5994">
        <w:t>that</w:t>
      </w:r>
      <w:r w:rsidR="0002036C">
        <w:t>: 1)</w:t>
      </w:r>
      <w:r w:rsidR="00F61C8B">
        <w:t xml:space="preserve"> </w:t>
      </w:r>
      <w:r w:rsidR="0002036C">
        <w:t xml:space="preserve">workers </w:t>
      </w:r>
      <w:r w:rsidR="00F848AD">
        <w:t xml:space="preserve">have reasonable </w:t>
      </w:r>
      <w:r w:rsidR="00F24A05">
        <w:t xml:space="preserve">concerns </w:t>
      </w:r>
      <w:r w:rsidR="00B06B67">
        <w:t>that working may result in a</w:t>
      </w:r>
      <w:r w:rsidR="00F848AD">
        <w:t xml:space="preserve"> </w:t>
      </w:r>
      <w:r w:rsidR="00F24A05">
        <w:t xml:space="preserve">substantial risk </w:t>
      </w:r>
      <w:r w:rsidR="00E70D66">
        <w:t xml:space="preserve">to the health and safety </w:t>
      </w:r>
      <w:r w:rsidR="00506BF9">
        <w:t xml:space="preserve">not only to </w:t>
      </w:r>
      <w:r w:rsidR="00E70D66">
        <w:t xml:space="preserve">themselves, </w:t>
      </w:r>
      <w:r w:rsidR="0047308E">
        <w:t xml:space="preserve">but also to </w:t>
      </w:r>
      <w:r w:rsidR="00001EE0">
        <w:t xml:space="preserve">their children or dependents, immediate family members </w:t>
      </w:r>
      <w:r w:rsidR="00442A8D">
        <w:t>or household members</w:t>
      </w:r>
      <w:r w:rsidR="0002036C">
        <w:t xml:space="preserve">; and, 2) </w:t>
      </w:r>
      <w:r w:rsidR="0002036C" w:rsidRPr="0002036C">
        <w:t>that workers have caregiving responsibilities for family or household members</w:t>
      </w:r>
      <w:r w:rsidR="00F61C8B">
        <w:t xml:space="preserve"> that prevent </w:t>
      </w:r>
      <w:r w:rsidR="00CA3BD1">
        <w:t>them from working</w:t>
      </w:r>
      <w:r w:rsidR="00442A8D">
        <w:t xml:space="preserve">. </w:t>
      </w:r>
      <w:r w:rsidR="0048498F">
        <w:t xml:space="preserve"> </w:t>
      </w:r>
    </w:p>
    <w:p w14:paraId="3BF47FF1" w14:textId="555E4677" w:rsidR="00F22F02" w:rsidRDefault="00601810" w:rsidP="00BF1375">
      <w:pPr>
        <w:pStyle w:val="BlockText"/>
      </w:pPr>
      <w:r>
        <w:t>1.  Expansions to “Suitable Work” and “Good Cause”</w:t>
      </w:r>
      <w:r w:rsidR="0048498F">
        <w:t xml:space="preserve"> </w:t>
      </w:r>
    </w:p>
    <w:p w14:paraId="14611759" w14:textId="01358CDE" w:rsidR="00E11B32" w:rsidRDefault="00BD7146" w:rsidP="00BF1375">
      <w:pPr>
        <w:pStyle w:val="BlockText"/>
      </w:pPr>
      <w:r>
        <w:t xml:space="preserve">Under </w:t>
      </w:r>
      <w:r w:rsidR="00AC467E">
        <w:t xml:space="preserve">DUA’s </w:t>
      </w:r>
      <w:r>
        <w:t xml:space="preserve">policy, </w:t>
      </w:r>
      <w:r w:rsidR="00ED1D00">
        <w:t xml:space="preserve">work </w:t>
      </w:r>
      <w:r>
        <w:t>is not considered “</w:t>
      </w:r>
      <w:r w:rsidRPr="00C7799D">
        <w:rPr>
          <w:u w:val="single"/>
        </w:rPr>
        <w:t>suitable</w:t>
      </w:r>
      <w:r>
        <w:t xml:space="preserve">” (and therefore can be refused without any impact on unemployment benefits) </w:t>
      </w:r>
      <w:r w:rsidR="00AA5E20">
        <w:t xml:space="preserve">if the worker has a reasonable belief that the job poses a </w:t>
      </w:r>
      <w:r w:rsidR="00AA5E20" w:rsidRPr="000772F6">
        <w:rPr>
          <w:u w:val="single"/>
        </w:rPr>
        <w:t>substantial risk</w:t>
      </w:r>
      <w:r w:rsidR="00AA5E20">
        <w:t xml:space="preserve"> to the </w:t>
      </w:r>
      <w:r w:rsidR="00DE374F">
        <w:t xml:space="preserve">health or safety </w:t>
      </w:r>
      <w:r w:rsidR="00F73FF4">
        <w:t>of the worker, the worker’s child</w:t>
      </w:r>
      <w:r w:rsidR="00D00C52">
        <w:t>, a member of the worker’s immediate family or household member,</w:t>
      </w:r>
      <w:r w:rsidR="009643E9">
        <w:t xml:space="preserve"> </w:t>
      </w:r>
      <w:r w:rsidR="00DE374F">
        <w:t xml:space="preserve">or </w:t>
      </w:r>
      <w:r w:rsidR="00B92584">
        <w:t xml:space="preserve">the worker’s health or safety would be </w:t>
      </w:r>
      <w:r w:rsidR="00B92584">
        <w:lastRenderedPageBreak/>
        <w:t xml:space="preserve">compromised due to an underlying medical or other condition if </w:t>
      </w:r>
      <w:r w:rsidR="009D07C2">
        <w:t xml:space="preserve">the worker accepted the job. </w:t>
      </w:r>
      <w:r w:rsidR="008805F2">
        <w:t xml:space="preserve">In each of these situations, the worker has </w:t>
      </w:r>
      <w:r w:rsidR="001F22AD">
        <w:t>“</w:t>
      </w:r>
      <w:r w:rsidR="001F22AD" w:rsidRPr="00ED1D00">
        <w:rPr>
          <w:u w:val="single"/>
        </w:rPr>
        <w:t>good cause</w:t>
      </w:r>
      <w:r w:rsidR="001F22AD">
        <w:t>” to refuse otherwise suitable work.</w:t>
      </w:r>
      <w:r w:rsidR="009D07C2">
        <w:t xml:space="preserve"> </w:t>
      </w:r>
    </w:p>
    <w:p w14:paraId="1CB435B8" w14:textId="4E64013E" w:rsidR="00B95F09" w:rsidRDefault="007F2C06" w:rsidP="00BF1375">
      <w:pPr>
        <w:pStyle w:val="BlockText"/>
      </w:pPr>
      <w:r>
        <w:t>2.  Caregiving Responsibilities</w:t>
      </w:r>
    </w:p>
    <w:p w14:paraId="6D907D77" w14:textId="75DB112B" w:rsidR="007F2C06" w:rsidRDefault="00561866" w:rsidP="00BF1375">
      <w:pPr>
        <w:pStyle w:val="BlockText"/>
      </w:pPr>
      <w:r>
        <w:t xml:space="preserve">Under </w:t>
      </w:r>
      <w:r w:rsidR="00AC467E">
        <w:t xml:space="preserve">DUA’s </w:t>
      </w:r>
      <w:r>
        <w:t>policy, a worker is not disqualified on the grounds of refusing otherwise suitable work</w:t>
      </w:r>
      <w:r w:rsidR="00E55977">
        <w:t xml:space="preserve"> if “due to age, medical condition, or other condition or infirmity, another individual</w:t>
      </w:r>
      <w:r w:rsidR="006B134A">
        <w:t xml:space="preserve"> requires the claimant’s full-time care and no alternate care is available due to COVID-1</w:t>
      </w:r>
      <w:r w:rsidR="00AC747D">
        <w:t>9.”</w:t>
      </w:r>
      <w:r w:rsidR="006F3DA1">
        <w:rPr>
          <w:rStyle w:val="FootnoteReference"/>
        </w:rPr>
        <w:footnoteReference w:id="6"/>
      </w:r>
      <w:r w:rsidR="00AC747D">
        <w:t xml:space="preserve"> </w:t>
      </w:r>
    </w:p>
    <w:p w14:paraId="7FF7E88B" w14:textId="300B2BF9" w:rsidR="0048498F" w:rsidRDefault="00F8538C" w:rsidP="00BF1375">
      <w:pPr>
        <w:pStyle w:val="BlockText"/>
      </w:pPr>
      <w:r>
        <w:t>Under federal guid</w:t>
      </w:r>
      <w:r w:rsidR="00656E33">
        <w:t>elines</w:t>
      </w:r>
      <w:r>
        <w:t xml:space="preserve"> concerning the Pandemic Unemployment Assistance </w:t>
      </w:r>
      <w:r w:rsidR="0095509A">
        <w:t xml:space="preserve">(PUA) </w:t>
      </w:r>
      <w:r>
        <w:t>program</w:t>
      </w:r>
      <w:r w:rsidR="00FC5D00">
        <w:rPr>
          <w:rStyle w:val="FootnoteReference"/>
        </w:rPr>
        <w:footnoteReference w:id="7"/>
      </w:r>
      <w:r>
        <w:t xml:space="preserve">, claimants are considered eligible for a COVID-19 related reason if </w:t>
      </w:r>
      <w:r w:rsidR="00264A2B">
        <w:t xml:space="preserve">their child is attending school virtually on a full-time or part-time basis.  </w:t>
      </w:r>
      <w:r w:rsidR="0095509A">
        <w:t>E</w:t>
      </w:r>
      <w:r w:rsidR="00264A2B">
        <w:t xml:space="preserve">ligibility is denied if the worker “chooses” not to send </w:t>
      </w:r>
      <w:r w:rsidR="006D1879">
        <w:t>a child to a school offering classes in-person.</w:t>
      </w:r>
      <w:r w:rsidR="006D1879">
        <w:rPr>
          <w:rStyle w:val="FootnoteReference"/>
        </w:rPr>
        <w:footnoteReference w:id="8"/>
      </w:r>
      <w:r w:rsidR="0048498F">
        <w:t xml:space="preserve"> </w:t>
      </w:r>
    </w:p>
    <w:p w14:paraId="4F220461" w14:textId="344E0463" w:rsidR="00FD157D" w:rsidRDefault="000051EB" w:rsidP="00BF1375">
      <w:pPr>
        <w:pStyle w:val="BlockText"/>
      </w:pPr>
      <w:r>
        <w:t xml:space="preserve">However, the DUA policy ameliorates this harsh result </w:t>
      </w:r>
      <w:r w:rsidR="00FC5D00">
        <w:t xml:space="preserve">when in-person school is available </w:t>
      </w:r>
      <w:r>
        <w:t>with the following cautionary note:</w:t>
      </w:r>
    </w:p>
    <w:p w14:paraId="1E7DE117" w14:textId="5FB75A80" w:rsidR="000051EB" w:rsidRDefault="005459CD" w:rsidP="00BF1375">
      <w:pPr>
        <w:pStyle w:val="BlockText"/>
      </w:pPr>
      <w:r>
        <w:t>“</w:t>
      </w:r>
      <w:r w:rsidRPr="00222863">
        <w:rPr>
          <w:i/>
          <w:iCs/>
        </w:rPr>
        <w:t xml:space="preserve">When reviewing the claimant’s responses to fact-finding questions, adjudicators </w:t>
      </w:r>
      <w:r w:rsidR="004B3E9F" w:rsidRPr="00222863">
        <w:rPr>
          <w:i/>
          <w:iCs/>
        </w:rPr>
        <w:t xml:space="preserve">must keep in mind that many things are beyond any individual claimant’s control.  For example, a claimant whose child has a mental or physical health condition or who is too young to wear adequate </w:t>
      </w:r>
      <w:r w:rsidR="00DE5BB3" w:rsidRPr="00222863">
        <w:rPr>
          <w:i/>
          <w:iCs/>
        </w:rPr>
        <w:t>personal protective equipment such as a mask should not be penalized for being unable to s</w:t>
      </w:r>
      <w:r w:rsidR="0061376C" w:rsidRPr="00222863">
        <w:rPr>
          <w:i/>
          <w:iCs/>
        </w:rPr>
        <w:t>end</w:t>
      </w:r>
      <w:r w:rsidR="00DE5BB3" w:rsidRPr="00222863">
        <w:rPr>
          <w:i/>
          <w:iCs/>
        </w:rPr>
        <w:t xml:space="preserve"> their child to daycare or school due to reasonable concerns a</w:t>
      </w:r>
      <w:r w:rsidR="00FB0D29" w:rsidRPr="00222863">
        <w:rPr>
          <w:i/>
          <w:iCs/>
        </w:rPr>
        <w:t>bout exposing themselves or their families to COVID-19</w:t>
      </w:r>
      <w:r w:rsidR="00FB0D29">
        <w:t>.</w:t>
      </w:r>
      <w:r w:rsidR="00222863">
        <w:t>”</w:t>
      </w:r>
      <w:r w:rsidR="00FB0D29">
        <w:t xml:space="preserve">  </w:t>
      </w:r>
    </w:p>
    <w:p w14:paraId="2DBDC925" w14:textId="1EC03580" w:rsidR="0005644E" w:rsidRDefault="0005644E" w:rsidP="00BF1375">
      <w:pPr>
        <w:pStyle w:val="BlockText"/>
      </w:pPr>
      <w:r>
        <w:t>“</w:t>
      </w:r>
      <w:r w:rsidRPr="00222863">
        <w:rPr>
          <w:i/>
          <w:iCs/>
        </w:rPr>
        <w:t xml:space="preserve">Other issues to consider include whether or not the school is located in a low-risk </w:t>
      </w:r>
      <w:r w:rsidR="00B55562" w:rsidRPr="00222863">
        <w:rPr>
          <w:i/>
          <w:iCs/>
        </w:rPr>
        <w:t xml:space="preserve">district according to the Governor’s COVID-19 Community-Level Data Map </w:t>
      </w:r>
      <w:r w:rsidR="007F6FB8" w:rsidRPr="00222863">
        <w:rPr>
          <w:i/>
          <w:iCs/>
        </w:rPr>
        <w:t>(</w:t>
      </w:r>
      <w:hyperlink r:id="rId8" w:history="1">
        <w:r w:rsidR="007F6FB8" w:rsidRPr="00222863">
          <w:rPr>
            <w:rStyle w:val="Hyperlink"/>
            <w:i/>
            <w:iCs/>
          </w:rPr>
          <w:t>https://www.mass.gov/info-details/community-level-covid-19-data-reporting</w:t>
        </w:r>
      </w:hyperlink>
      <w:r w:rsidR="007F6FB8" w:rsidRPr="00222863">
        <w:rPr>
          <w:i/>
          <w:iCs/>
        </w:rPr>
        <w:t>)</w:t>
      </w:r>
      <w:r w:rsidR="009967C6" w:rsidRPr="00222863">
        <w:rPr>
          <w:i/>
          <w:iCs/>
        </w:rPr>
        <w:t>, whether the school or classroom is following the state’s safety guidelines, whether the claimant, the claimant’s child or immediate</w:t>
      </w:r>
      <w:r w:rsidR="00F834CD" w:rsidRPr="00222863">
        <w:rPr>
          <w:i/>
          <w:iCs/>
        </w:rPr>
        <w:t xml:space="preserve"> family or household have preexisting medical conditions and whether the child has any condition which may make remote or hybrid learning problematic</w:t>
      </w:r>
      <w:r w:rsidR="00022BB5" w:rsidRPr="00222863">
        <w:rPr>
          <w:i/>
          <w:iCs/>
        </w:rPr>
        <w:t>.  When in doubt, adjudicators are encouraged to use the flexibility granted by USDOL in determining these issues.</w:t>
      </w:r>
      <w:r w:rsidR="00022BB5">
        <w:t>”</w:t>
      </w:r>
      <w:r w:rsidR="007F6FB8">
        <w:t xml:space="preserve">  </w:t>
      </w:r>
    </w:p>
    <w:p w14:paraId="507FB286" w14:textId="24FA42BE" w:rsidR="007F6FB8" w:rsidRDefault="007F6FB8" w:rsidP="00BF1375">
      <w:pPr>
        <w:pStyle w:val="BlockText"/>
      </w:pPr>
    </w:p>
    <w:p w14:paraId="2FDF4A8A" w14:textId="2900ED17" w:rsidR="00404292" w:rsidRDefault="00404292" w:rsidP="00BF1375">
      <w:pPr>
        <w:pStyle w:val="BlockText"/>
      </w:pPr>
      <w:r>
        <w:t xml:space="preserve">Finally, DUA’s policy </w:t>
      </w:r>
      <w:r w:rsidR="002C599A">
        <w:t xml:space="preserve">memorializes in writing </w:t>
      </w:r>
      <w:r w:rsidR="00B407F7">
        <w:t xml:space="preserve">its </w:t>
      </w:r>
      <w:r w:rsidR="002C599A">
        <w:t xml:space="preserve">policy during the pandemic.  Therefore, any workers </w:t>
      </w:r>
      <w:r w:rsidR="00B407F7">
        <w:t xml:space="preserve">who were </w:t>
      </w:r>
      <w:r w:rsidR="002C599A">
        <w:t xml:space="preserve">denied benefits for reasons inconsistent with this policy should seek a redetermination. </w:t>
      </w:r>
    </w:p>
    <w:sectPr w:rsidR="00404292" w:rsidSect="00F17230"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E79A8" w14:textId="77777777" w:rsidR="001F1765" w:rsidRDefault="001F1765">
      <w:r>
        <w:separator/>
      </w:r>
    </w:p>
  </w:endnote>
  <w:endnote w:type="continuationSeparator" w:id="0">
    <w:p w14:paraId="35BB859B" w14:textId="77777777" w:rsidR="001F1765" w:rsidRDefault="001F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nkGothITC B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3D960" w14:textId="77777777" w:rsidR="00C2003A" w:rsidRPr="00C2003A" w:rsidRDefault="001330C7" w:rsidP="00C2003A">
    <w:pPr>
      <w:tabs>
        <w:tab w:val="center" w:pos="4320"/>
        <w:tab w:val="right" w:pos="8640"/>
      </w:tabs>
      <w:jc w:val="center"/>
      <w:rPr>
        <w:rFonts w:ascii="FrnkGothITC Bk BT" w:hAnsi="FrnkGothITC Bk BT"/>
        <w:b/>
        <w:bCs/>
        <w:sz w:val="16"/>
      </w:rPr>
    </w:pPr>
    <w:r>
      <w:rPr>
        <w:rFonts w:ascii="FrnkGothITC Bk BT" w:hAnsi="FrnkGothITC Bk BT"/>
        <w:b/>
        <w:bCs/>
        <w:noProof/>
        <w:sz w:val="16"/>
      </w:rPr>
      <w:drawing>
        <wp:anchor distT="0" distB="0" distL="114300" distR="114300" simplePos="0" relativeHeight="251661824" behindDoc="1" locked="0" layoutInCell="1" allowOverlap="0" wp14:anchorId="7C83D964" wp14:editId="7C83D965">
          <wp:simplePos x="0" y="0"/>
          <wp:positionH relativeFrom="column">
            <wp:posOffset>5652770</wp:posOffset>
          </wp:positionH>
          <wp:positionV relativeFrom="paragraph">
            <wp:posOffset>-38735</wp:posOffset>
          </wp:positionV>
          <wp:extent cx="685800" cy="152400"/>
          <wp:effectExtent l="0" t="0" r="0" b="0"/>
          <wp:wrapTight wrapText="bothSides">
            <wp:wrapPolygon edited="0">
              <wp:start x="0" y="0"/>
              <wp:lineTo x="0" y="18900"/>
              <wp:lineTo x="21000" y="18900"/>
              <wp:lineTo x="21000" y="0"/>
              <wp:lineTo x="0" y="0"/>
            </wp:wrapPolygon>
          </wp:wrapTight>
          <wp:docPr id="13" name="Picture 13" descr="united way black on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nited way black on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03A" w:rsidRPr="00C2003A">
      <w:rPr>
        <w:rFonts w:ascii="FrnkGothITC Bk BT" w:hAnsi="FrnkGothITC Bk BT"/>
        <w:b/>
        <w:bCs/>
        <w:sz w:val="16"/>
      </w:rPr>
      <w:t xml:space="preserve">197 Friend Street, Boston, </w:t>
    </w:r>
    <w:r w:rsidR="00C2003A">
      <w:rPr>
        <w:rFonts w:ascii="FrnkGothITC Bk BT" w:hAnsi="FrnkGothITC Bk BT"/>
        <w:b/>
        <w:bCs/>
        <w:sz w:val="16"/>
      </w:rPr>
      <w:t xml:space="preserve">MA </w:t>
    </w:r>
    <w:r w:rsidR="00C2003A" w:rsidRPr="00C2003A">
      <w:rPr>
        <w:rFonts w:ascii="FrnkGothITC Bk BT" w:hAnsi="FrnkGothITC Bk BT"/>
        <w:b/>
        <w:bCs/>
        <w:sz w:val="16"/>
      </w:rPr>
      <w:t xml:space="preserve"> 02114 </w:t>
    </w:r>
    <w:r w:rsidR="00C2003A" w:rsidRPr="00C2003A">
      <w:rPr>
        <w:rFonts w:ascii="FrnkGothITC Bk BT" w:hAnsi="FrnkGothITC Bk BT"/>
        <w:b/>
        <w:bCs/>
        <w:sz w:val="12"/>
      </w:rPr>
      <w:sym w:font="Wingdings" w:char="F06C"/>
    </w:r>
    <w:r w:rsidR="00C2003A" w:rsidRPr="00C2003A">
      <w:rPr>
        <w:rFonts w:ascii="FrnkGothITC Bk BT" w:hAnsi="FrnkGothITC Bk BT"/>
        <w:b/>
        <w:bCs/>
        <w:sz w:val="16"/>
      </w:rPr>
      <w:t xml:space="preserve"> </w:t>
    </w:r>
    <w:r w:rsidR="00580345">
      <w:rPr>
        <w:rFonts w:ascii="FrnkGothITC Bk BT" w:hAnsi="FrnkGothITC Bk BT"/>
        <w:b/>
        <w:bCs/>
        <w:sz w:val="16"/>
      </w:rPr>
      <w:t>Tel</w:t>
    </w:r>
    <w:r w:rsidR="00C2003A" w:rsidRPr="00C2003A">
      <w:rPr>
        <w:rFonts w:ascii="FrnkGothITC Bk BT" w:hAnsi="FrnkGothITC Bk BT"/>
        <w:b/>
        <w:bCs/>
        <w:sz w:val="16"/>
      </w:rPr>
      <w:t xml:space="preserve">: 617.371.1234 </w:t>
    </w:r>
    <w:r w:rsidR="00C2003A" w:rsidRPr="00C2003A">
      <w:rPr>
        <w:rFonts w:ascii="FrnkGothITC Bk BT" w:hAnsi="FrnkGothITC Bk BT"/>
        <w:b/>
        <w:bCs/>
        <w:sz w:val="12"/>
      </w:rPr>
      <w:sym w:font="Wingdings" w:char="F06C"/>
    </w:r>
    <w:r w:rsidR="00C2003A" w:rsidRPr="00C2003A">
      <w:rPr>
        <w:rFonts w:ascii="FrnkGothITC Bk BT" w:hAnsi="FrnkGothITC Bk BT"/>
        <w:b/>
        <w:bCs/>
        <w:sz w:val="16"/>
      </w:rPr>
      <w:t xml:space="preserve"> </w:t>
    </w:r>
    <w:r w:rsidR="00580345">
      <w:rPr>
        <w:rFonts w:ascii="FrnkGothITC Bk BT" w:hAnsi="FrnkGothITC Bk BT"/>
        <w:b/>
        <w:bCs/>
        <w:sz w:val="16"/>
      </w:rPr>
      <w:t>Fax</w:t>
    </w:r>
    <w:r w:rsidR="00C2003A" w:rsidRPr="00C2003A">
      <w:rPr>
        <w:rFonts w:ascii="FrnkGothITC Bk BT" w:hAnsi="FrnkGothITC Bk BT"/>
        <w:b/>
        <w:bCs/>
        <w:sz w:val="16"/>
      </w:rPr>
      <w:t>: 617.371.1222</w:t>
    </w:r>
  </w:p>
  <w:p w14:paraId="7C83D961" w14:textId="77777777" w:rsidR="00B56F1A" w:rsidRDefault="00B56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01DCD" w14:textId="77777777" w:rsidR="001F1765" w:rsidRDefault="001F1765">
      <w:r>
        <w:separator/>
      </w:r>
    </w:p>
  </w:footnote>
  <w:footnote w:type="continuationSeparator" w:id="0">
    <w:p w14:paraId="6FFCF8E4" w14:textId="77777777" w:rsidR="001F1765" w:rsidRDefault="001F1765">
      <w:r>
        <w:continuationSeparator/>
      </w:r>
    </w:p>
  </w:footnote>
  <w:footnote w:id="1">
    <w:p w14:paraId="1CB03249" w14:textId="6F78BAD0" w:rsidR="00170878" w:rsidRDefault="001708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1667A">
        <w:t xml:space="preserve">Unemployment Insurance Policy and Performance </w:t>
      </w:r>
      <w:r w:rsidR="00A66F40">
        <w:t xml:space="preserve">Interoffice </w:t>
      </w:r>
      <w:r w:rsidR="0041667A">
        <w:t>Memo</w:t>
      </w:r>
      <w:r w:rsidR="00A66F40">
        <w:t>randum</w:t>
      </w:r>
      <w:r w:rsidR="0041667A">
        <w:t xml:space="preserve"> (UIPP) 2020-12</w:t>
      </w:r>
      <w:r w:rsidR="007F2C06">
        <w:t xml:space="preserve"> (10/08/2020)</w:t>
      </w:r>
      <w:r w:rsidR="0041667A">
        <w:t>.</w:t>
      </w:r>
    </w:p>
  </w:footnote>
  <w:footnote w:id="2">
    <w:p w14:paraId="1EEA1E87" w14:textId="03CC4F40" w:rsidR="004751F6" w:rsidRDefault="004751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967D9">
        <w:t>Mass. General Laws, chapter 151A, sec. 24(b).</w:t>
      </w:r>
    </w:p>
  </w:footnote>
  <w:footnote w:id="3">
    <w:p w14:paraId="59EC3D3E" w14:textId="25B122C5" w:rsidR="00E606A3" w:rsidRDefault="00E606A3">
      <w:pPr>
        <w:pStyle w:val="FootnoteText"/>
      </w:pPr>
      <w:r>
        <w:rPr>
          <w:rStyle w:val="FootnoteReference"/>
        </w:rPr>
        <w:footnoteRef/>
      </w:r>
      <w:r>
        <w:t xml:space="preserve"> Mass. General Laws, chapter 151A, sec. 25(c).</w:t>
      </w:r>
    </w:p>
  </w:footnote>
  <w:footnote w:id="4">
    <w:p w14:paraId="68232D97" w14:textId="48B52AAE" w:rsidR="00F26574" w:rsidRDefault="00F26574">
      <w:pPr>
        <w:pStyle w:val="FootnoteText"/>
      </w:pPr>
      <w:r>
        <w:rPr>
          <w:rStyle w:val="FootnoteReference"/>
        </w:rPr>
        <w:footnoteRef/>
      </w:r>
      <w:r>
        <w:t xml:space="preserve"> 430 Code of MA Regulations 4.4</w:t>
      </w:r>
      <w:r w:rsidR="00FF34FD">
        <w:t>2 – 4.45.</w:t>
      </w:r>
    </w:p>
  </w:footnote>
  <w:footnote w:id="5">
    <w:p w14:paraId="14C59ACA" w14:textId="4A8F9728" w:rsidR="002F37F5" w:rsidRDefault="002F37F5">
      <w:pPr>
        <w:pStyle w:val="FootnoteText"/>
      </w:pPr>
      <w:r>
        <w:rPr>
          <w:rStyle w:val="FootnoteReference"/>
        </w:rPr>
        <w:footnoteRef/>
      </w:r>
      <w:r>
        <w:t xml:space="preserve"> USDOL Unemployment Insurance Policy Letter (UIPL) 10-20</w:t>
      </w:r>
      <w:r w:rsidR="00982706">
        <w:t xml:space="preserve"> (3/20/2020); </w:t>
      </w:r>
      <w:r w:rsidR="00E5647A">
        <w:t>UIPL 13-20 (3/22/2020).</w:t>
      </w:r>
    </w:p>
  </w:footnote>
  <w:footnote w:id="6">
    <w:p w14:paraId="6CBEBF73" w14:textId="6F526D92" w:rsidR="006F3DA1" w:rsidRDefault="006F3DA1">
      <w:pPr>
        <w:pStyle w:val="FootnoteText"/>
      </w:pPr>
      <w:r>
        <w:rPr>
          <w:rStyle w:val="FootnoteReference"/>
        </w:rPr>
        <w:footnoteRef/>
      </w:r>
      <w:r>
        <w:t xml:space="preserve"> UIPP 2020-12.</w:t>
      </w:r>
      <w:r w:rsidR="00485262">
        <w:t xml:space="preserve">  </w:t>
      </w:r>
      <w:r w:rsidR="00DD3573">
        <w:t>U</w:t>
      </w:r>
      <w:r w:rsidR="00485262">
        <w:t xml:space="preserve">nder pre-COVID </w:t>
      </w:r>
      <w:r w:rsidR="00DD3573">
        <w:t xml:space="preserve">requirements, </w:t>
      </w:r>
      <w:r w:rsidR="00485262">
        <w:t xml:space="preserve">the need </w:t>
      </w:r>
      <w:r w:rsidR="006229F3">
        <w:t xml:space="preserve">to care for another constituted good cause </w:t>
      </w:r>
      <w:r w:rsidR="009D5F70">
        <w:t xml:space="preserve">for leaving work, but </w:t>
      </w:r>
      <w:proofErr w:type="gramStart"/>
      <w:r w:rsidR="00F04BFA">
        <w:t>with the exception of</w:t>
      </w:r>
      <w:proofErr w:type="gramEnd"/>
      <w:r w:rsidR="00F04BFA">
        <w:t xml:space="preserve"> limited circumstances, the claimant would be denied as not available to work.  </w:t>
      </w:r>
      <w:r w:rsidR="0075785C">
        <w:t>Note 4, above</w:t>
      </w:r>
      <w:r w:rsidR="002535B6">
        <w:t xml:space="preserve"> and DUA Adjudication Handbook, Rev. 3/1/2020, ch. </w:t>
      </w:r>
      <w:r w:rsidR="007B0070">
        <w:t xml:space="preserve">4 available at </w:t>
      </w:r>
      <w:hyperlink r:id="rId1" w:history="1">
        <w:r w:rsidR="007B0070" w:rsidRPr="001B0E1A">
          <w:rPr>
            <w:rStyle w:val="Hyperlink"/>
          </w:rPr>
          <w:t>www.mass.legalservices.org</w:t>
        </w:r>
      </w:hyperlink>
      <w:r w:rsidR="0075785C">
        <w:t>.</w:t>
      </w:r>
    </w:p>
  </w:footnote>
  <w:footnote w:id="7">
    <w:p w14:paraId="2F8F26E8" w14:textId="6CC4825B" w:rsidR="00586F6B" w:rsidRDefault="00FC5D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B568F">
        <w:t xml:space="preserve">PUA, a new program is available for non-traditional workers such as independent contractors </w:t>
      </w:r>
      <w:proofErr w:type="gramStart"/>
      <w:r w:rsidR="00EB568F">
        <w:t>and also</w:t>
      </w:r>
      <w:proofErr w:type="gramEnd"/>
      <w:r w:rsidR="00EB568F">
        <w:t xml:space="preserve"> those no</w:t>
      </w:r>
      <w:r w:rsidR="00586F6B">
        <w:t xml:space="preserve">t eligible for regular UI. For further information, see </w:t>
      </w:r>
      <w:hyperlink r:id="rId2" w:history="1">
        <w:r w:rsidR="00586F6B" w:rsidRPr="001B0E1A">
          <w:rPr>
            <w:rStyle w:val="Hyperlink"/>
          </w:rPr>
          <w:t>www.mass.gov/PUA</w:t>
        </w:r>
      </w:hyperlink>
      <w:r w:rsidR="00586F6B">
        <w:t>.</w:t>
      </w:r>
    </w:p>
  </w:footnote>
  <w:footnote w:id="8">
    <w:p w14:paraId="71D582D6" w14:textId="3D8C8E56" w:rsidR="006D1879" w:rsidRDefault="006D18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14C72">
        <w:t xml:space="preserve">UIPL 16-20, Change 3 </w:t>
      </w:r>
      <w:r w:rsidR="00FD157D">
        <w:t>(8/27/2020).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3D95A" w14:textId="0F1E9170" w:rsidR="00B56F1A" w:rsidRDefault="00941593">
    <w:pPr>
      <w:pStyle w:val="Header"/>
    </w:pPr>
    <w:bookmarkStart w:id="0" w:name="HeaderName"/>
    <w:r>
      <w:t xml:space="preserve">Expanded </w:t>
    </w:r>
    <w:r w:rsidR="00B95F09">
      <w:t xml:space="preserve">UI </w:t>
    </w:r>
    <w:r>
      <w:t>Eligi</w:t>
    </w:r>
    <w:r w:rsidR="00B95F09">
      <w:t>bility</w:t>
    </w:r>
    <w:r>
      <w:t xml:space="preserve"> Under COVID-19</w:t>
    </w:r>
    <w:bookmarkEnd w:id="0"/>
  </w:p>
  <w:p w14:paraId="7C83D95B" w14:textId="7975DB76" w:rsidR="00B56F1A" w:rsidRDefault="00941593">
    <w:pPr>
      <w:pStyle w:val="Header"/>
    </w:pPr>
    <w:bookmarkStart w:id="1" w:name="HeaderDate"/>
    <w:r>
      <w:t>October 9, 2020</w:t>
    </w:r>
    <w:bookmarkEnd w:id="1"/>
  </w:p>
  <w:p w14:paraId="7C83D95C" w14:textId="77777777" w:rsidR="00B56F1A" w:rsidRDefault="00B56F1A">
    <w:pPr>
      <w:pStyle w:val="Header"/>
      <w:spacing w:after="240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7230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3D95D" w14:textId="77777777" w:rsidR="00B56F1A" w:rsidRDefault="00CB7D1A">
    <w:pPr>
      <w:pStyle w:val="Header"/>
    </w:pPr>
    <w:r>
      <w:rPr>
        <w:noProof/>
        <w:sz w:val="20"/>
      </w:rPr>
      <w:drawing>
        <wp:inline distT="0" distB="0" distL="0" distR="0" wp14:anchorId="7C83D962" wp14:editId="7C83D963">
          <wp:extent cx="3056666" cy="1133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BLS JPG logo--complete 75%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499" cy="1140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3D95E" w14:textId="77777777" w:rsidR="00B56F1A" w:rsidRDefault="00B56F1A">
    <w:pPr>
      <w:pStyle w:val="Header"/>
    </w:pPr>
  </w:p>
  <w:p w14:paraId="7C83D95F" w14:textId="77777777" w:rsidR="00027812" w:rsidRDefault="00027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730A2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1440" w:hanging="720"/>
      </w:pPr>
      <w:rPr>
        <w:rFonts w:hint="default"/>
      </w:rPr>
    </w:lvl>
  </w:abstractNum>
  <w:abstractNum w:abstractNumId="1" w15:restartNumberingAfterBreak="0">
    <w:nsid w:val="0FEB5AA8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2" w15:restartNumberingAfterBreak="0">
    <w:nsid w:val="20337A53"/>
    <w:multiLevelType w:val="multilevel"/>
    <w:tmpl w:val="8EDAA4C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720" w:firstLine="36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3" w15:restartNumberingAfterBreak="0">
    <w:nsid w:val="2A373242"/>
    <w:multiLevelType w:val="multilevel"/>
    <w:tmpl w:val="3404EC1C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vanish w:val="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720" w:firstLine="360"/>
      </w:pPr>
      <w:rPr>
        <w:rFonts w:hint="default"/>
        <w:vanish w:val="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1800"/>
        </w:tabs>
        <w:ind w:left="1080" w:firstLine="360"/>
      </w:pPr>
      <w:rPr>
        <w:rFonts w:hint="default"/>
        <w:vanish w:val="0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160"/>
        </w:tabs>
        <w:ind w:left="1440" w:firstLine="360"/>
      </w:pPr>
      <w:rPr>
        <w:rFonts w:hint="default"/>
        <w:vanish w:val="0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pStyle w:val="Heading7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pStyle w:val="Heading9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4" w15:restartNumberingAfterBreak="0">
    <w:nsid w:val="2B4E0907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5" w15:restartNumberingAfterBreak="0">
    <w:nsid w:val="2B627D6E"/>
    <w:multiLevelType w:val="multilevel"/>
    <w:tmpl w:val="E91A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6" w15:restartNumberingAfterBreak="0">
    <w:nsid w:val="37B12D59"/>
    <w:multiLevelType w:val="multilevel"/>
    <w:tmpl w:val="64A2093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720" w:firstLine="36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080" w:firstLine="36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7" w15:restartNumberingAfterBreak="0">
    <w:nsid w:val="4A753FB2"/>
    <w:multiLevelType w:val="multilevel"/>
    <w:tmpl w:val="392CCBB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8" w15:restartNumberingAfterBreak="0">
    <w:nsid w:val="7F361D3C"/>
    <w:multiLevelType w:val="multilevel"/>
    <w:tmpl w:val="A3CA0C3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BB"/>
    <w:rsid w:val="00001EE0"/>
    <w:rsid w:val="000051EB"/>
    <w:rsid w:val="0002036C"/>
    <w:rsid w:val="00022BB5"/>
    <w:rsid w:val="00027812"/>
    <w:rsid w:val="00031EDE"/>
    <w:rsid w:val="0005644E"/>
    <w:rsid w:val="000772F6"/>
    <w:rsid w:val="0008592F"/>
    <w:rsid w:val="000C3CFA"/>
    <w:rsid w:val="000C73E5"/>
    <w:rsid w:val="00114C72"/>
    <w:rsid w:val="001330C7"/>
    <w:rsid w:val="001645BE"/>
    <w:rsid w:val="00170878"/>
    <w:rsid w:val="001F1765"/>
    <w:rsid w:val="001F22AD"/>
    <w:rsid w:val="00222863"/>
    <w:rsid w:val="00225B00"/>
    <w:rsid w:val="002535B6"/>
    <w:rsid w:val="00264A2B"/>
    <w:rsid w:val="00267CBB"/>
    <w:rsid w:val="002C599A"/>
    <w:rsid w:val="002C62B7"/>
    <w:rsid w:val="002F37F5"/>
    <w:rsid w:val="00333EFF"/>
    <w:rsid w:val="003B54ED"/>
    <w:rsid w:val="003C031E"/>
    <w:rsid w:val="00404292"/>
    <w:rsid w:val="0041377D"/>
    <w:rsid w:val="0041667A"/>
    <w:rsid w:val="00417718"/>
    <w:rsid w:val="00442A8D"/>
    <w:rsid w:val="0047308E"/>
    <w:rsid w:val="004751F6"/>
    <w:rsid w:val="0048498F"/>
    <w:rsid w:val="00485262"/>
    <w:rsid w:val="004B3E9F"/>
    <w:rsid w:val="004D10AF"/>
    <w:rsid w:val="004E342A"/>
    <w:rsid w:val="00506BF9"/>
    <w:rsid w:val="005377EC"/>
    <w:rsid w:val="005459CD"/>
    <w:rsid w:val="00561866"/>
    <w:rsid w:val="005664A7"/>
    <w:rsid w:val="00580345"/>
    <w:rsid w:val="00586F6B"/>
    <w:rsid w:val="005D2A55"/>
    <w:rsid w:val="005E3AB3"/>
    <w:rsid w:val="00600E06"/>
    <w:rsid w:val="00601810"/>
    <w:rsid w:val="0061376C"/>
    <w:rsid w:val="006229F3"/>
    <w:rsid w:val="00627392"/>
    <w:rsid w:val="006457EA"/>
    <w:rsid w:val="00656E33"/>
    <w:rsid w:val="006B134A"/>
    <w:rsid w:val="006D1879"/>
    <w:rsid w:val="006D1ED6"/>
    <w:rsid w:val="006F3DA1"/>
    <w:rsid w:val="00740DC6"/>
    <w:rsid w:val="0075785C"/>
    <w:rsid w:val="007817A4"/>
    <w:rsid w:val="007B0070"/>
    <w:rsid w:val="007F0A36"/>
    <w:rsid w:val="007F2C06"/>
    <w:rsid w:val="007F6FB8"/>
    <w:rsid w:val="008728DD"/>
    <w:rsid w:val="008805F2"/>
    <w:rsid w:val="00941593"/>
    <w:rsid w:val="0095509A"/>
    <w:rsid w:val="00956DF5"/>
    <w:rsid w:val="009643E9"/>
    <w:rsid w:val="00982706"/>
    <w:rsid w:val="009833F0"/>
    <w:rsid w:val="00995080"/>
    <w:rsid w:val="009967C6"/>
    <w:rsid w:val="009D07C2"/>
    <w:rsid w:val="009D5F70"/>
    <w:rsid w:val="00A40F25"/>
    <w:rsid w:val="00A66F40"/>
    <w:rsid w:val="00A9207F"/>
    <w:rsid w:val="00A967D9"/>
    <w:rsid w:val="00AA1EC6"/>
    <w:rsid w:val="00AA5E20"/>
    <w:rsid w:val="00AA6B3E"/>
    <w:rsid w:val="00AB5994"/>
    <w:rsid w:val="00AC467E"/>
    <w:rsid w:val="00AC747D"/>
    <w:rsid w:val="00AD7447"/>
    <w:rsid w:val="00B06B67"/>
    <w:rsid w:val="00B407F7"/>
    <w:rsid w:val="00B55562"/>
    <w:rsid w:val="00B56F1A"/>
    <w:rsid w:val="00B6626E"/>
    <w:rsid w:val="00B76CC4"/>
    <w:rsid w:val="00B92584"/>
    <w:rsid w:val="00B95F09"/>
    <w:rsid w:val="00BD7146"/>
    <w:rsid w:val="00BF1375"/>
    <w:rsid w:val="00C0769E"/>
    <w:rsid w:val="00C14D5E"/>
    <w:rsid w:val="00C2003A"/>
    <w:rsid w:val="00C7799D"/>
    <w:rsid w:val="00C80DC4"/>
    <w:rsid w:val="00C923DE"/>
    <w:rsid w:val="00CA3BD1"/>
    <w:rsid w:val="00CB7D1A"/>
    <w:rsid w:val="00CF1478"/>
    <w:rsid w:val="00CF4E4B"/>
    <w:rsid w:val="00D000B3"/>
    <w:rsid w:val="00D00C52"/>
    <w:rsid w:val="00D75E62"/>
    <w:rsid w:val="00DD3573"/>
    <w:rsid w:val="00DE374F"/>
    <w:rsid w:val="00DE5BB3"/>
    <w:rsid w:val="00E11B32"/>
    <w:rsid w:val="00E34486"/>
    <w:rsid w:val="00E419B5"/>
    <w:rsid w:val="00E55977"/>
    <w:rsid w:val="00E5647A"/>
    <w:rsid w:val="00E606A3"/>
    <w:rsid w:val="00E70D66"/>
    <w:rsid w:val="00E91CBD"/>
    <w:rsid w:val="00E97F9E"/>
    <w:rsid w:val="00EB004D"/>
    <w:rsid w:val="00EB568F"/>
    <w:rsid w:val="00EC474A"/>
    <w:rsid w:val="00ED1D00"/>
    <w:rsid w:val="00EE067D"/>
    <w:rsid w:val="00F04BFA"/>
    <w:rsid w:val="00F17230"/>
    <w:rsid w:val="00F22F02"/>
    <w:rsid w:val="00F24A05"/>
    <w:rsid w:val="00F26574"/>
    <w:rsid w:val="00F346B3"/>
    <w:rsid w:val="00F3626F"/>
    <w:rsid w:val="00F61C8B"/>
    <w:rsid w:val="00F73FF4"/>
    <w:rsid w:val="00F834CD"/>
    <w:rsid w:val="00F848AD"/>
    <w:rsid w:val="00F8538C"/>
    <w:rsid w:val="00F90E3F"/>
    <w:rsid w:val="00FB0D29"/>
    <w:rsid w:val="00FC5D00"/>
    <w:rsid w:val="00FD157D"/>
    <w:rsid w:val="00FE7D02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C83D955"/>
  <w15:docId w15:val="{CC2B1889-1AD7-4079-AB57-D682E4D5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7812"/>
    <w:rPr>
      <w:sz w:val="24"/>
      <w:szCs w:val="24"/>
    </w:rPr>
  </w:style>
  <w:style w:type="paragraph" w:styleId="Heading1">
    <w:name w:val="heading 1"/>
    <w:aliases w:val="h1"/>
    <w:basedOn w:val="Heading"/>
    <w:qFormat/>
    <w:rsid w:val="00027812"/>
    <w:pPr>
      <w:numPr>
        <w:numId w:val="3"/>
      </w:numPr>
      <w:outlineLvl w:val="0"/>
    </w:pPr>
  </w:style>
  <w:style w:type="paragraph" w:styleId="Heading2">
    <w:name w:val="heading 2"/>
    <w:aliases w:val="h2"/>
    <w:basedOn w:val="Heading"/>
    <w:qFormat/>
    <w:rsid w:val="00027812"/>
    <w:pPr>
      <w:numPr>
        <w:ilvl w:val="1"/>
        <w:numId w:val="3"/>
      </w:numPr>
      <w:outlineLvl w:val="1"/>
    </w:pPr>
  </w:style>
  <w:style w:type="paragraph" w:styleId="Heading3">
    <w:name w:val="heading 3"/>
    <w:aliases w:val="h3"/>
    <w:basedOn w:val="Heading"/>
    <w:qFormat/>
    <w:rsid w:val="00027812"/>
    <w:pPr>
      <w:numPr>
        <w:ilvl w:val="2"/>
        <w:numId w:val="3"/>
      </w:numPr>
      <w:outlineLvl w:val="2"/>
    </w:pPr>
  </w:style>
  <w:style w:type="paragraph" w:styleId="Heading4">
    <w:name w:val="heading 4"/>
    <w:aliases w:val="h4"/>
    <w:basedOn w:val="Heading"/>
    <w:qFormat/>
    <w:rsid w:val="00027812"/>
    <w:pPr>
      <w:numPr>
        <w:ilvl w:val="3"/>
        <w:numId w:val="3"/>
      </w:numPr>
      <w:outlineLvl w:val="3"/>
    </w:pPr>
  </w:style>
  <w:style w:type="paragraph" w:styleId="Heading5">
    <w:name w:val="heading 5"/>
    <w:aliases w:val="h5"/>
    <w:basedOn w:val="Heading"/>
    <w:qFormat/>
    <w:rsid w:val="00027812"/>
    <w:pPr>
      <w:numPr>
        <w:ilvl w:val="4"/>
        <w:numId w:val="3"/>
      </w:numPr>
      <w:outlineLvl w:val="4"/>
    </w:pPr>
  </w:style>
  <w:style w:type="paragraph" w:styleId="Heading6">
    <w:name w:val="heading 6"/>
    <w:aliases w:val="h6"/>
    <w:basedOn w:val="Heading"/>
    <w:next w:val="Normal"/>
    <w:qFormat/>
    <w:rsid w:val="00027812"/>
    <w:pPr>
      <w:numPr>
        <w:ilvl w:val="5"/>
        <w:numId w:val="3"/>
      </w:numPr>
      <w:outlineLvl w:val="5"/>
    </w:pPr>
  </w:style>
  <w:style w:type="paragraph" w:styleId="Heading7">
    <w:name w:val="heading 7"/>
    <w:aliases w:val="h7"/>
    <w:basedOn w:val="Heading"/>
    <w:next w:val="Normal"/>
    <w:qFormat/>
    <w:rsid w:val="00027812"/>
    <w:pPr>
      <w:numPr>
        <w:ilvl w:val="6"/>
        <w:numId w:val="3"/>
      </w:numPr>
      <w:outlineLvl w:val="6"/>
    </w:pPr>
  </w:style>
  <w:style w:type="paragraph" w:styleId="Heading8">
    <w:name w:val="heading 8"/>
    <w:aliases w:val="h8"/>
    <w:basedOn w:val="Heading"/>
    <w:next w:val="Normal"/>
    <w:qFormat/>
    <w:rsid w:val="00027812"/>
    <w:pPr>
      <w:numPr>
        <w:ilvl w:val="7"/>
        <w:numId w:val="3"/>
      </w:numPr>
      <w:outlineLvl w:val="7"/>
    </w:pPr>
  </w:style>
  <w:style w:type="paragraph" w:styleId="Heading9">
    <w:name w:val="heading 9"/>
    <w:aliases w:val="h9"/>
    <w:basedOn w:val="Heading"/>
    <w:next w:val="Normal"/>
    <w:qFormat/>
    <w:rsid w:val="00027812"/>
    <w:pPr>
      <w:numPr>
        <w:ilvl w:val="8"/>
        <w:numId w:val="3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78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78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7812"/>
  </w:style>
  <w:style w:type="paragraph" w:styleId="Date">
    <w:name w:val="Date"/>
    <w:basedOn w:val="Normal"/>
    <w:next w:val="Normal"/>
    <w:pPr>
      <w:spacing w:before="480" w:after="720"/>
    </w:pPr>
  </w:style>
  <w:style w:type="paragraph" w:styleId="Salutation">
    <w:name w:val="Salutation"/>
    <w:basedOn w:val="Normal"/>
    <w:next w:val="Normal"/>
    <w:pPr>
      <w:spacing w:before="480" w:after="240"/>
    </w:pPr>
  </w:style>
  <w:style w:type="paragraph" w:customStyle="1" w:styleId="Body">
    <w:name w:val="Body"/>
    <w:basedOn w:val="Normal"/>
    <w:pPr>
      <w:spacing w:after="240"/>
    </w:pPr>
  </w:style>
  <w:style w:type="paragraph" w:customStyle="1" w:styleId="BlockQuote">
    <w:name w:val="Block Quote"/>
    <w:basedOn w:val="Normal"/>
    <w:rsid w:val="00027812"/>
    <w:pPr>
      <w:spacing w:after="240"/>
      <w:ind w:left="720" w:right="720"/>
    </w:pPr>
  </w:style>
  <w:style w:type="paragraph" w:customStyle="1" w:styleId="BlockQuote2">
    <w:name w:val="Block Quote 2"/>
    <w:basedOn w:val="Normal"/>
    <w:rsid w:val="00027812"/>
    <w:pPr>
      <w:spacing w:line="480" w:lineRule="auto"/>
      <w:ind w:left="720" w:right="720"/>
    </w:pPr>
  </w:style>
  <w:style w:type="paragraph" w:styleId="BlockText">
    <w:name w:val="Block Text"/>
    <w:basedOn w:val="Normal"/>
    <w:rsid w:val="00027812"/>
    <w:pPr>
      <w:spacing w:after="240"/>
    </w:pPr>
  </w:style>
  <w:style w:type="paragraph" w:customStyle="1" w:styleId="BlockText2">
    <w:name w:val="Block Text 2"/>
    <w:basedOn w:val="Normal"/>
    <w:rsid w:val="00027812"/>
    <w:pPr>
      <w:spacing w:line="480" w:lineRule="auto"/>
    </w:pPr>
  </w:style>
  <w:style w:type="paragraph" w:styleId="BodyText">
    <w:name w:val="Body Text"/>
    <w:basedOn w:val="Normal"/>
    <w:rsid w:val="00027812"/>
    <w:pPr>
      <w:spacing w:after="240"/>
      <w:ind w:firstLine="720"/>
    </w:pPr>
    <w:rPr>
      <w:szCs w:val="20"/>
    </w:rPr>
  </w:style>
  <w:style w:type="paragraph" w:styleId="BodyText2">
    <w:name w:val="Body Text 2"/>
    <w:basedOn w:val="Normal"/>
    <w:rsid w:val="00027812"/>
    <w:pPr>
      <w:spacing w:line="480" w:lineRule="auto"/>
      <w:ind w:firstLine="720"/>
    </w:pPr>
    <w:rPr>
      <w:szCs w:val="20"/>
    </w:rPr>
  </w:style>
  <w:style w:type="paragraph" w:customStyle="1" w:styleId="BodyText2LeftIndent">
    <w:name w:val="Body Text 2 Left Indent"/>
    <w:basedOn w:val="Normal"/>
    <w:rsid w:val="00027812"/>
    <w:pPr>
      <w:spacing w:line="480" w:lineRule="auto"/>
      <w:ind w:left="720" w:right="720" w:firstLine="720"/>
    </w:pPr>
  </w:style>
  <w:style w:type="paragraph" w:customStyle="1" w:styleId="BodyTextLeftIndent">
    <w:name w:val="Body Text Left Indent"/>
    <w:basedOn w:val="Normal"/>
    <w:rsid w:val="00027812"/>
    <w:pPr>
      <w:spacing w:after="240"/>
      <w:ind w:left="720" w:right="720" w:firstLine="720"/>
    </w:pPr>
  </w:style>
  <w:style w:type="paragraph" w:styleId="ListNumber">
    <w:name w:val="List Number"/>
    <w:basedOn w:val="Normal"/>
    <w:rsid w:val="00027812"/>
    <w:pPr>
      <w:numPr>
        <w:numId w:val="1"/>
      </w:numPr>
      <w:spacing w:after="240"/>
    </w:pPr>
  </w:style>
  <w:style w:type="paragraph" w:customStyle="1" w:styleId="SigLine">
    <w:name w:val="Sig Line"/>
    <w:basedOn w:val="Normal"/>
    <w:rsid w:val="00027812"/>
    <w:pPr>
      <w:tabs>
        <w:tab w:val="left" w:leader="underscore" w:pos="8460"/>
      </w:tabs>
      <w:ind w:left="5040"/>
    </w:pPr>
  </w:style>
  <w:style w:type="paragraph" w:styleId="Signature">
    <w:name w:val="Signature"/>
    <w:basedOn w:val="Normal"/>
    <w:rsid w:val="00027812"/>
    <w:pPr>
      <w:ind w:left="5040"/>
    </w:pPr>
  </w:style>
  <w:style w:type="paragraph" w:customStyle="1" w:styleId="Title2">
    <w:name w:val="Title 2"/>
    <w:basedOn w:val="Normal"/>
    <w:rsid w:val="00027812"/>
    <w:pPr>
      <w:spacing w:after="240"/>
      <w:jc w:val="center"/>
    </w:pPr>
    <w:rPr>
      <w:rFonts w:ascii="Times New Roman Bold" w:hAnsi="Times New Roman Bold"/>
      <w:b/>
      <w:caps/>
      <w:u w:val="single"/>
    </w:rPr>
  </w:style>
  <w:style w:type="paragraph" w:customStyle="1" w:styleId="Title3">
    <w:name w:val="Title 3"/>
    <w:basedOn w:val="Normal"/>
    <w:rsid w:val="00027812"/>
    <w:pPr>
      <w:spacing w:after="240"/>
      <w:jc w:val="center"/>
    </w:pPr>
    <w:rPr>
      <w:rFonts w:ascii="Times New Roman Bold" w:hAnsi="Times New Roman Bold"/>
      <w:b/>
      <w:u w:val="single"/>
    </w:rPr>
  </w:style>
  <w:style w:type="paragraph" w:customStyle="1" w:styleId="Title4">
    <w:name w:val="Title 4"/>
    <w:basedOn w:val="Normal"/>
    <w:rsid w:val="00027812"/>
    <w:pPr>
      <w:spacing w:after="240"/>
    </w:pPr>
    <w:rPr>
      <w:b/>
      <w:u w:val="single"/>
    </w:rPr>
  </w:style>
  <w:style w:type="paragraph" w:styleId="Title">
    <w:name w:val="Title"/>
    <w:aliases w:val="Title 1"/>
    <w:basedOn w:val="Normal"/>
    <w:qFormat/>
    <w:rsid w:val="00027812"/>
    <w:pPr>
      <w:spacing w:after="240"/>
      <w:jc w:val="center"/>
      <w:outlineLvl w:val="0"/>
    </w:pPr>
    <w:rPr>
      <w:rFonts w:ascii="Times New Roman Bold" w:hAnsi="Times New Roman Bold" w:cs="Arial"/>
      <w:b/>
      <w:bCs/>
      <w:caps/>
      <w:kern w:val="28"/>
      <w:szCs w:val="32"/>
    </w:rPr>
  </w:style>
  <w:style w:type="character" w:customStyle="1" w:styleId="DocID">
    <w:name w:val="DocID"/>
    <w:basedOn w:val="DefaultParagraphFont"/>
    <w:rsid w:val="00027812"/>
  </w:style>
  <w:style w:type="paragraph" w:customStyle="1" w:styleId="Heading">
    <w:name w:val="Heading"/>
    <w:basedOn w:val="Normal"/>
    <w:rsid w:val="00027812"/>
    <w:pPr>
      <w:spacing w:after="240"/>
    </w:pPr>
    <w:rPr>
      <w:szCs w:val="20"/>
    </w:rPr>
  </w:style>
  <w:style w:type="paragraph" w:customStyle="1" w:styleId="heading1notoc">
    <w:name w:val="heading 1 (no toc)"/>
    <w:basedOn w:val="Heading1"/>
    <w:next w:val="Normal"/>
    <w:rsid w:val="00027812"/>
    <w:pPr>
      <w:numPr>
        <w:numId w:val="0"/>
      </w:numPr>
      <w:outlineLvl w:val="9"/>
    </w:pPr>
  </w:style>
  <w:style w:type="paragraph" w:customStyle="1" w:styleId="heading2notoc">
    <w:name w:val="heading 2 (no toc)"/>
    <w:basedOn w:val="Heading2"/>
    <w:next w:val="Normal"/>
    <w:rsid w:val="00027812"/>
    <w:pPr>
      <w:numPr>
        <w:ilvl w:val="0"/>
        <w:numId w:val="0"/>
      </w:numPr>
      <w:outlineLvl w:val="9"/>
    </w:pPr>
  </w:style>
  <w:style w:type="paragraph" w:customStyle="1" w:styleId="heading3notoc">
    <w:name w:val="heading 3 (no toc)"/>
    <w:basedOn w:val="Heading3"/>
    <w:next w:val="Normal"/>
    <w:rsid w:val="00027812"/>
    <w:pPr>
      <w:numPr>
        <w:ilvl w:val="0"/>
        <w:numId w:val="0"/>
      </w:numPr>
      <w:outlineLvl w:val="9"/>
    </w:pPr>
  </w:style>
  <w:style w:type="paragraph" w:customStyle="1" w:styleId="heading4notoc">
    <w:name w:val="heading 4 (no toc)"/>
    <w:basedOn w:val="Heading4"/>
    <w:next w:val="Normal"/>
    <w:rsid w:val="00027812"/>
    <w:pPr>
      <w:numPr>
        <w:ilvl w:val="0"/>
        <w:numId w:val="0"/>
      </w:numPr>
      <w:outlineLvl w:val="9"/>
    </w:pPr>
  </w:style>
  <w:style w:type="paragraph" w:customStyle="1" w:styleId="heading5notoc">
    <w:name w:val="heading 5 (no toc)"/>
    <w:basedOn w:val="Heading5"/>
    <w:next w:val="Normal"/>
    <w:rsid w:val="00027812"/>
    <w:pPr>
      <w:numPr>
        <w:ilvl w:val="0"/>
        <w:numId w:val="0"/>
      </w:numPr>
      <w:outlineLvl w:val="9"/>
    </w:pPr>
  </w:style>
  <w:style w:type="paragraph" w:customStyle="1" w:styleId="Quote1">
    <w:name w:val="Quote1"/>
    <w:aliases w:val="q"/>
    <w:basedOn w:val="Normal"/>
    <w:next w:val="QuoteContinued"/>
    <w:rsid w:val="00027812"/>
    <w:pPr>
      <w:spacing w:before="240"/>
      <w:ind w:left="1440" w:right="1440"/>
    </w:pPr>
    <w:rPr>
      <w:szCs w:val="20"/>
    </w:rPr>
  </w:style>
  <w:style w:type="paragraph" w:customStyle="1" w:styleId="QuoteDoubleSpace">
    <w:name w:val="Quote DoubleSpace"/>
    <w:aliases w:val="qd"/>
    <w:basedOn w:val="Quote1"/>
    <w:next w:val="Normal"/>
    <w:rsid w:val="00027812"/>
    <w:pPr>
      <w:spacing w:line="480" w:lineRule="auto"/>
    </w:pPr>
  </w:style>
  <w:style w:type="paragraph" w:styleId="TOC1">
    <w:name w:val="toc 1"/>
    <w:basedOn w:val="Normal"/>
    <w:next w:val="Normal"/>
    <w:autoRedefine/>
    <w:semiHidden/>
    <w:rsid w:val="00027812"/>
  </w:style>
  <w:style w:type="paragraph" w:customStyle="1" w:styleId="QuoteContinued">
    <w:name w:val="Quote Continued"/>
    <w:basedOn w:val="BodyText"/>
    <w:next w:val="BodyText"/>
    <w:rsid w:val="00027812"/>
  </w:style>
  <w:style w:type="paragraph" w:styleId="TOC2">
    <w:name w:val="toc 2"/>
    <w:basedOn w:val="Normal"/>
    <w:next w:val="Normal"/>
    <w:autoRedefine/>
    <w:semiHidden/>
    <w:rsid w:val="00027812"/>
    <w:pPr>
      <w:ind w:left="240"/>
    </w:pPr>
  </w:style>
  <w:style w:type="paragraph" w:styleId="TOC3">
    <w:name w:val="toc 3"/>
    <w:basedOn w:val="Normal"/>
    <w:next w:val="Normal"/>
    <w:autoRedefine/>
    <w:semiHidden/>
    <w:rsid w:val="00027812"/>
    <w:pPr>
      <w:ind w:left="480"/>
    </w:pPr>
  </w:style>
  <w:style w:type="table" w:styleId="TableGrid">
    <w:name w:val="Table Grid"/>
    <w:basedOn w:val="TableNormal"/>
    <w:rsid w:val="00027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4751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751F6"/>
  </w:style>
  <w:style w:type="character" w:styleId="FootnoteReference">
    <w:name w:val="footnote reference"/>
    <w:basedOn w:val="DefaultParagraphFont"/>
    <w:semiHidden/>
    <w:unhideWhenUsed/>
    <w:rsid w:val="004751F6"/>
    <w:rPr>
      <w:vertAlign w:val="superscript"/>
    </w:rPr>
  </w:style>
  <w:style w:type="character" w:styleId="Hyperlink">
    <w:name w:val="Hyperlink"/>
    <w:basedOn w:val="DefaultParagraphFont"/>
    <w:unhideWhenUsed/>
    <w:rsid w:val="007B00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community-level-covid-19-data-report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s.gov/PUA" TargetMode="External"/><Relationship Id="rId1" Type="http://schemas.openxmlformats.org/officeDocument/2006/relationships/hyperlink" Target="http://www.mass.legalservice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squire%20Innovations\iCreate\iTemplates\GBLS%20Letterhead%20Station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5C0AF-08A7-4C34-B648-F2CBF5AD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GBLS Letterhead Stationary</Template>
  <TotalTime>105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Greater Boston Legal Services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mhalas</dc:creator>
  <cp:lastModifiedBy>mmhalas@gmail.com</cp:lastModifiedBy>
  <cp:revision>129</cp:revision>
  <cp:lastPrinted>2008-05-05T12:42:00Z</cp:lastPrinted>
  <dcterms:created xsi:type="dcterms:W3CDTF">2020-10-09T18:41:00Z</dcterms:created>
  <dcterms:modified xsi:type="dcterms:W3CDTF">2020-10-09T20:26:00Z</dcterms:modified>
</cp:coreProperties>
</file>