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C6D2" w14:textId="77777777" w:rsidR="00034106" w:rsidRDefault="00C43480">
      <w:pPr>
        <w:rPr>
          <w:b/>
          <w:sz w:val="28"/>
          <w:szCs w:val="28"/>
        </w:rPr>
      </w:pPr>
      <w:r w:rsidRPr="00034106">
        <w:rPr>
          <w:b/>
          <w:sz w:val="28"/>
          <w:szCs w:val="28"/>
        </w:rPr>
        <w:t xml:space="preserve">Public Charge </w:t>
      </w:r>
      <w:r w:rsidR="00CC3D1E" w:rsidRPr="00034106">
        <w:rPr>
          <w:b/>
          <w:sz w:val="28"/>
          <w:szCs w:val="28"/>
        </w:rPr>
        <w:t xml:space="preserve">– </w:t>
      </w:r>
    </w:p>
    <w:p w14:paraId="62570985" w14:textId="24CA4DF6" w:rsidR="009172EA" w:rsidRPr="00034106" w:rsidRDefault="00636E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Quick </w:t>
      </w:r>
      <w:r w:rsidR="00F00B49">
        <w:rPr>
          <w:b/>
          <w:sz w:val="28"/>
          <w:szCs w:val="28"/>
        </w:rPr>
        <w:t xml:space="preserve">Reference </w:t>
      </w:r>
      <w:r>
        <w:rPr>
          <w:b/>
          <w:sz w:val="28"/>
          <w:szCs w:val="28"/>
        </w:rPr>
        <w:t xml:space="preserve">Chart </w:t>
      </w:r>
      <w:r w:rsidR="00F00B49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Assist Immigrant Clients Seeking/Receiving Benefits </w:t>
      </w:r>
      <w:r w:rsidR="00A06D90">
        <w:rPr>
          <w:b/>
          <w:sz w:val="28"/>
          <w:szCs w:val="28"/>
        </w:rPr>
        <w:t>during</w:t>
      </w:r>
      <w:r>
        <w:rPr>
          <w:b/>
          <w:sz w:val="28"/>
          <w:szCs w:val="28"/>
        </w:rPr>
        <w:t xml:space="preserve"> </w:t>
      </w:r>
      <w:r w:rsidR="00F00B4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Pendency of the </w:t>
      </w:r>
      <w:r w:rsidR="000F6323" w:rsidRPr="00034106">
        <w:rPr>
          <w:b/>
          <w:sz w:val="28"/>
          <w:szCs w:val="28"/>
        </w:rPr>
        <w:t xml:space="preserve">Proposed </w:t>
      </w:r>
      <w:r>
        <w:rPr>
          <w:b/>
          <w:sz w:val="28"/>
          <w:szCs w:val="28"/>
        </w:rPr>
        <w:t>“</w:t>
      </w:r>
      <w:r w:rsidR="000F6323" w:rsidRPr="00034106">
        <w:rPr>
          <w:b/>
          <w:sz w:val="28"/>
          <w:szCs w:val="28"/>
        </w:rPr>
        <w:t>Public Charge Rule</w:t>
      </w:r>
      <w:r>
        <w:rPr>
          <w:b/>
          <w:sz w:val="28"/>
          <w:szCs w:val="28"/>
        </w:rPr>
        <w:t>”</w:t>
      </w:r>
      <w:r w:rsidR="00CC3D1E" w:rsidRPr="00034106">
        <w:rPr>
          <w:b/>
          <w:sz w:val="28"/>
          <w:szCs w:val="28"/>
        </w:rPr>
        <w:t xml:space="preserve"> </w:t>
      </w:r>
      <w:r w:rsidR="00C43480" w:rsidRPr="00034106">
        <w:rPr>
          <w:b/>
          <w:sz w:val="28"/>
          <w:szCs w:val="28"/>
        </w:rPr>
        <w:t xml:space="preserve"> </w:t>
      </w:r>
    </w:p>
    <w:p w14:paraId="2166358A" w14:textId="77777777" w:rsidR="00C219B1" w:rsidRDefault="00C219B1">
      <w:pPr>
        <w:rPr>
          <w:i/>
        </w:rPr>
      </w:pPr>
    </w:p>
    <w:p w14:paraId="40151E77" w14:textId="2F24C271" w:rsidR="004B7A71" w:rsidRPr="00035540" w:rsidRDefault="00636E0B">
      <w:pPr>
        <w:rPr>
          <w:i/>
        </w:rPr>
      </w:pPr>
      <w:r>
        <w:rPr>
          <w:i/>
        </w:rPr>
        <w:t>MLRI</w:t>
      </w:r>
      <w:r w:rsidR="00F00B49">
        <w:rPr>
          <w:i/>
        </w:rPr>
        <w:t xml:space="preserve"> Basic Benefits Training (BBT) Series Immigrants &amp; Benefits Session Handout, </w:t>
      </w:r>
      <w:r>
        <w:rPr>
          <w:i/>
        </w:rPr>
        <w:t xml:space="preserve"> 3-27-19</w:t>
      </w:r>
    </w:p>
    <w:p w14:paraId="053E8B55" w14:textId="77777777" w:rsidR="004B7A71" w:rsidRDefault="004B7A71"/>
    <w:p w14:paraId="58201049" w14:textId="3EEBBA8D" w:rsidR="00024F36" w:rsidRDefault="00954F52" w:rsidP="00140640">
      <w:pPr>
        <w:rPr>
          <w:b/>
        </w:rPr>
      </w:pPr>
      <w:r>
        <w:rPr>
          <w:b/>
        </w:rPr>
        <w:t xml:space="preserve">Overview </w:t>
      </w:r>
      <w:r w:rsidR="00024F36">
        <w:rPr>
          <w:b/>
        </w:rPr>
        <w:t xml:space="preserve"> </w:t>
      </w:r>
    </w:p>
    <w:p w14:paraId="4827DC3F" w14:textId="77777777" w:rsidR="00024F36" w:rsidRDefault="00024F36" w:rsidP="00140640">
      <w:pPr>
        <w:rPr>
          <w:b/>
        </w:rPr>
      </w:pPr>
    </w:p>
    <w:p w14:paraId="0A28FD44" w14:textId="611DB6C1" w:rsidR="00024F36" w:rsidRDefault="00CC3D1E" w:rsidP="00024F36">
      <w:pPr>
        <w:ind w:firstLine="720"/>
      </w:pPr>
      <w:r>
        <w:t xml:space="preserve">With the exception of </w:t>
      </w:r>
      <w:r w:rsidR="009A39BE">
        <w:t>a January 2018 change</w:t>
      </w:r>
      <w:r>
        <w:t xml:space="preserve"> in </w:t>
      </w:r>
      <w:r w:rsidR="009A39BE">
        <w:t xml:space="preserve">the </w:t>
      </w:r>
      <w:r>
        <w:t>U.S. Department of State</w:t>
      </w:r>
      <w:r w:rsidR="009A39BE">
        <w:t>’s</w:t>
      </w:r>
      <w:r>
        <w:t xml:space="preserve"> public charge polic</w:t>
      </w:r>
      <w:r w:rsidR="009A39BE">
        <w:t>ies for</w:t>
      </w:r>
      <w:r>
        <w:t xml:space="preserve"> consular visa processing </w:t>
      </w:r>
      <w:r w:rsidR="009A39BE">
        <w:t>cases</w:t>
      </w:r>
      <w:r>
        <w:t xml:space="preserve">, </w:t>
      </w:r>
      <w:r>
        <w:rPr>
          <w:u w:val="single"/>
        </w:rPr>
        <w:t>public charge laws, regulations, case law, and policy have not changed as of this date</w:t>
      </w:r>
      <w:r w:rsidR="00E03C6D">
        <w:rPr>
          <w:u w:val="single"/>
        </w:rPr>
        <w:t>,</w:t>
      </w:r>
      <w:r w:rsidR="00A601FA">
        <w:rPr>
          <w:u w:val="single"/>
        </w:rPr>
        <w:t xml:space="preserve"> and </w:t>
      </w:r>
      <w:r w:rsidR="00F00B49">
        <w:rPr>
          <w:u w:val="single"/>
        </w:rPr>
        <w:t xml:space="preserve">former Department of Homeland Security (DHS) </w:t>
      </w:r>
      <w:r w:rsidR="00A601FA">
        <w:rPr>
          <w:u w:val="single"/>
        </w:rPr>
        <w:t>public charge guidelines</w:t>
      </w:r>
      <w:r w:rsidR="00F00B49">
        <w:rPr>
          <w:u w:val="single"/>
        </w:rPr>
        <w:t xml:space="preserve"> published by the former INS in 1999 </w:t>
      </w:r>
      <w:r w:rsidR="00A601FA">
        <w:rPr>
          <w:u w:val="single"/>
        </w:rPr>
        <w:t>remain in effect</w:t>
      </w:r>
      <w:r>
        <w:rPr>
          <w:u w:val="single"/>
        </w:rPr>
        <w:t>.</w:t>
      </w:r>
      <w:r w:rsidR="00F00B49" w:rsidRPr="00F00B49">
        <w:rPr>
          <w:rStyle w:val="FootnoteReference"/>
          <w:u w:val="single"/>
        </w:rPr>
        <w:t xml:space="preserve"> </w:t>
      </w:r>
      <w:r w:rsidR="00F00B49">
        <w:t xml:space="preserve">(The link to these guidelines and </w:t>
      </w:r>
      <w:r w:rsidR="00FD7B90">
        <w:t xml:space="preserve">the </w:t>
      </w:r>
      <w:r w:rsidR="00F00B49">
        <w:t xml:space="preserve">other policies referred to in this Quick Chart is in the BBT materials list.) </w:t>
      </w:r>
    </w:p>
    <w:p w14:paraId="4BF8FC14" w14:textId="77777777" w:rsidR="00024F36" w:rsidRDefault="00FD7B90" w:rsidP="00024F36">
      <w:pPr>
        <w:ind w:firstLine="720"/>
      </w:pPr>
      <w:r>
        <w:rPr>
          <w:i/>
        </w:rPr>
        <w:t>P</w:t>
      </w:r>
      <w:r w:rsidR="00CC3D1E" w:rsidRPr="00A601FA">
        <w:rPr>
          <w:i/>
        </w:rPr>
        <w:t>roposed</w:t>
      </w:r>
      <w:r w:rsidR="00A601FA">
        <w:rPr>
          <w:i/>
        </w:rPr>
        <w:t xml:space="preserve"> </w:t>
      </w:r>
      <w:r w:rsidR="00CC3D1E">
        <w:t>USCIS public charge regulations published in October 2018</w:t>
      </w:r>
      <w:r w:rsidR="009A39BE">
        <w:t xml:space="preserve"> have led to an increase in questions from </w:t>
      </w:r>
      <w:r>
        <w:t xml:space="preserve">immigrant </w:t>
      </w:r>
      <w:r w:rsidR="009A39BE">
        <w:t xml:space="preserve">clients about whether </w:t>
      </w:r>
      <w:r w:rsidR="007E0EE8">
        <w:t>they</w:t>
      </w:r>
      <w:r w:rsidR="009A39BE">
        <w:t xml:space="preserve"> should </w:t>
      </w:r>
      <w:r>
        <w:t xml:space="preserve">apply for or </w:t>
      </w:r>
      <w:r w:rsidR="009A39BE">
        <w:t xml:space="preserve">dis-enroll from safety net programs they and/or family members may </w:t>
      </w:r>
      <w:r>
        <w:t xml:space="preserve">receive or </w:t>
      </w:r>
      <w:r w:rsidR="009A39BE">
        <w:t>have receiv</w:t>
      </w:r>
      <w:r>
        <w:t>ed</w:t>
      </w:r>
      <w:r w:rsidR="009A39BE">
        <w:t>, as well as questions about how past receipt of these benefits may affect prospects for adjusting status</w:t>
      </w:r>
      <w:r w:rsidR="000248EB">
        <w:t>,</w:t>
      </w:r>
      <w:r w:rsidR="009A39BE">
        <w:t xml:space="preserve"> attaining other status</w:t>
      </w:r>
      <w:r w:rsidR="000248EB">
        <w:t>, or protecting status</w:t>
      </w:r>
      <w:r w:rsidR="009A39BE">
        <w:t>.</w:t>
      </w:r>
      <w:r>
        <w:t xml:space="preserve"> </w:t>
      </w:r>
      <w:r w:rsidR="00F930E1">
        <w:t xml:space="preserve">The following questions </w:t>
      </w:r>
      <w:r w:rsidR="00A601FA">
        <w:t xml:space="preserve">can </w:t>
      </w:r>
      <w:r w:rsidR="00F930E1">
        <w:t xml:space="preserve">be discussed with </w:t>
      </w:r>
      <w:r w:rsidR="00954F52">
        <w:t>immigrant clients</w:t>
      </w:r>
      <w:r w:rsidR="00F930E1">
        <w:t xml:space="preserve"> to help them </w:t>
      </w:r>
      <w:r w:rsidR="00A601FA">
        <w:t xml:space="preserve">make </w:t>
      </w:r>
      <w:r w:rsidR="00A601FA">
        <w:rPr>
          <w:u w:val="single"/>
        </w:rPr>
        <w:t>informed decisions</w:t>
      </w:r>
      <w:r w:rsidR="00E03C6D">
        <w:rPr>
          <w:u w:val="single"/>
        </w:rPr>
        <w:t xml:space="preserve"> </w:t>
      </w:r>
      <w:r w:rsidR="00E03C6D">
        <w:t xml:space="preserve">about their benefits. </w:t>
      </w:r>
      <w:r w:rsidR="00140640">
        <w:t xml:space="preserve">Every represented </w:t>
      </w:r>
      <w:r w:rsidR="007E0EE8">
        <w:t xml:space="preserve">immigrant </w:t>
      </w:r>
      <w:r w:rsidR="00140640">
        <w:t xml:space="preserve">client should be encouraged to discuss these questions with </w:t>
      </w:r>
      <w:r w:rsidR="007E0EE8">
        <w:t>his/her</w:t>
      </w:r>
      <w:r w:rsidR="00954F52">
        <w:t>/their</w:t>
      </w:r>
      <w:r w:rsidR="00140640">
        <w:t xml:space="preserve"> attorney before making any decision</w:t>
      </w:r>
      <w:r w:rsidR="00035296">
        <w:t>.</w:t>
      </w:r>
      <w:r w:rsidR="00140640">
        <w:t xml:space="preserve"> Additional materials useful for lawyers dealing with these matters are also available free of charge from MLRI by contacting Iris Gomez or Deirdre Giblin (contacts are in the BBT materials.)</w:t>
      </w:r>
      <w:r w:rsidR="00035296">
        <w:t xml:space="preserve"> </w:t>
      </w:r>
    </w:p>
    <w:p w14:paraId="3712B6CA" w14:textId="77777777" w:rsidR="00AB3EC2" w:rsidRDefault="00140640" w:rsidP="00024F36">
      <w:pPr>
        <w:ind w:firstLine="720"/>
      </w:pPr>
      <w:r>
        <w:t>Whether or not a</w:t>
      </w:r>
      <w:r w:rsidR="007E0EE8">
        <w:t>n immigrant</w:t>
      </w:r>
      <w:r>
        <w:t xml:space="preserve"> will face public charge consequences in seeking one or more immigration statuses, or protecting the status </w:t>
      </w:r>
      <w:r w:rsidR="007E0EE8">
        <w:t>the person</w:t>
      </w:r>
      <w:r>
        <w:t xml:space="preserve"> </w:t>
      </w:r>
      <w:r w:rsidR="007E0EE8">
        <w:t xml:space="preserve">now </w:t>
      </w:r>
      <w:r>
        <w:t>has, depends on an assessment of multiple risk factors</w:t>
      </w:r>
      <w:r w:rsidR="007E0EE8">
        <w:t xml:space="preserve"> beyond those involving the receipt of benefits, for example,</w:t>
      </w:r>
      <w:r w:rsidR="00954F52">
        <w:t xml:space="preserve"> factors like</w:t>
      </w:r>
      <w:r w:rsidR="007E0EE8">
        <w:t xml:space="preserve"> employment</w:t>
      </w:r>
      <w:r w:rsidR="00954F52">
        <w:t>,</w:t>
      </w:r>
      <w:r w:rsidR="007E0EE8">
        <w:t xml:space="preserve"> income</w:t>
      </w:r>
      <w:r w:rsidR="00954F52">
        <w:t>,</w:t>
      </w:r>
      <w:r w:rsidR="007E0EE8">
        <w:t xml:space="preserve"> and education. Also, b</w:t>
      </w:r>
      <w:r>
        <w:t xml:space="preserve">enefits dis-enrollment may not be necessary or in </w:t>
      </w:r>
      <w:r w:rsidR="007E0EE8">
        <w:t>an</w:t>
      </w:r>
      <w:r>
        <w:t xml:space="preserve"> </w:t>
      </w:r>
      <w:r w:rsidR="007E0EE8">
        <w:t>immigrant</w:t>
      </w:r>
      <w:r>
        <w:t xml:space="preserve">’s best interest, since the surrender of critical safety net benefits such as health care or nutrition benefits may have harmful long-term personal consequences for the client and/or his/her/their loved ones, apart from a legal immigration consequence. </w:t>
      </w:r>
      <w:r w:rsidR="00954F52">
        <w:t>S</w:t>
      </w:r>
      <w:r>
        <w:t xml:space="preserve">ome benefits may help </w:t>
      </w:r>
      <w:r w:rsidR="00954F52">
        <w:t>an</w:t>
      </w:r>
      <w:r>
        <w:t xml:space="preserve"> </w:t>
      </w:r>
      <w:r w:rsidR="007E0EE8">
        <w:t>immigrant</w:t>
      </w:r>
      <w:r>
        <w:t xml:space="preserve"> avoid a negative public charge determination – if evidence </w:t>
      </w:r>
      <w:r w:rsidR="00954F52">
        <w:t xml:space="preserve">can be secured to show </w:t>
      </w:r>
      <w:r>
        <w:t>how receiving the</w:t>
      </w:r>
      <w:r w:rsidR="00954F52">
        <w:t xml:space="preserve"> benefits</w:t>
      </w:r>
      <w:r>
        <w:t xml:space="preserve"> improved the </w:t>
      </w:r>
      <w:r w:rsidR="007E0EE8">
        <w:t>person</w:t>
      </w:r>
      <w:r>
        <w:t xml:space="preserve">’s </w:t>
      </w:r>
      <w:r w:rsidR="007E0EE8">
        <w:t xml:space="preserve">current and future </w:t>
      </w:r>
      <w:r>
        <w:t xml:space="preserve">ability to be self-sufficient. </w:t>
      </w:r>
    </w:p>
    <w:p w14:paraId="45481825" w14:textId="63FB3547" w:rsidR="00140640" w:rsidRDefault="00140640" w:rsidP="00024F36">
      <w:pPr>
        <w:ind w:firstLine="720"/>
      </w:pPr>
      <w:r>
        <w:t xml:space="preserve"> </w:t>
      </w:r>
    </w:p>
    <w:p w14:paraId="2745C9B6" w14:textId="77777777" w:rsidR="00035296" w:rsidRDefault="00035296"/>
    <w:p w14:paraId="7E353CCE" w14:textId="77777777" w:rsidR="00024F36" w:rsidRDefault="00140640" w:rsidP="007E0EE8">
      <w:pPr>
        <w:rPr>
          <w:b/>
        </w:rPr>
      </w:pPr>
      <w:r>
        <w:rPr>
          <w:b/>
        </w:rPr>
        <w:t>Key Questions for Clients Who Express Co</w:t>
      </w:r>
      <w:r w:rsidR="00024F36">
        <w:rPr>
          <w:b/>
        </w:rPr>
        <w:t>ncerns about Receiving Benefits</w:t>
      </w:r>
    </w:p>
    <w:p w14:paraId="2697EBBA" w14:textId="77777777" w:rsidR="00024F36" w:rsidRDefault="00024F36" w:rsidP="007E0EE8">
      <w:pPr>
        <w:rPr>
          <w:b/>
        </w:rPr>
      </w:pPr>
    </w:p>
    <w:p w14:paraId="286B982B" w14:textId="5B6AADBC" w:rsidR="007E0EE8" w:rsidRPr="00954F52" w:rsidRDefault="007E0EE8" w:rsidP="00024F36">
      <w:pPr>
        <w:ind w:firstLine="360"/>
        <w:rPr>
          <w:b/>
        </w:rPr>
      </w:pPr>
      <w:r>
        <w:t xml:space="preserve">In order to assist an immigrant in making an </w:t>
      </w:r>
      <w:r w:rsidRPr="00975060">
        <w:rPr>
          <w:u w:val="single"/>
        </w:rPr>
        <w:t>informed decision</w:t>
      </w:r>
      <w:r>
        <w:t xml:space="preserve"> about whether his/her/their risk of an adverse public charge determination outweighs the need for safety net benefits, it is helpful to determine at least 4 things:</w:t>
      </w:r>
    </w:p>
    <w:p w14:paraId="7D958B60" w14:textId="77777777" w:rsidR="004B74C9" w:rsidRPr="004B74C9" w:rsidRDefault="004B74C9" w:rsidP="004B74C9">
      <w:pPr>
        <w:pStyle w:val="ListParagraph"/>
        <w:numPr>
          <w:ilvl w:val="0"/>
          <w:numId w:val="28"/>
        </w:numPr>
        <w:spacing w:before="0" w:after="0"/>
        <w:ind w:left="360"/>
      </w:pPr>
      <w:r>
        <w:rPr>
          <w:u w:val="single"/>
        </w:rPr>
        <w:t>What kind of benefit is it?</w:t>
      </w:r>
    </w:p>
    <w:p w14:paraId="67D709A0" w14:textId="6D10CA2C" w:rsidR="00A601FA" w:rsidRDefault="009A39BE" w:rsidP="004B74C9">
      <w:pPr>
        <w:spacing w:before="0" w:after="0"/>
      </w:pPr>
      <w:r>
        <w:t xml:space="preserve">Immigrants may </w:t>
      </w:r>
      <w:r w:rsidR="007E0EE8">
        <w:t>seek/</w:t>
      </w:r>
      <w:r w:rsidR="00EC6AC5">
        <w:t>receive</w:t>
      </w:r>
      <w:r>
        <w:t xml:space="preserve"> benefits</w:t>
      </w:r>
      <w:r w:rsidR="00A601FA">
        <w:t xml:space="preserve"> </w:t>
      </w:r>
      <w:r w:rsidR="00E03C6D">
        <w:t xml:space="preserve">that do or </w:t>
      </w:r>
      <w:r w:rsidR="00446392">
        <w:t>d</w:t>
      </w:r>
      <w:r w:rsidR="00E03C6D">
        <w:t>o not entail a public charge risk</w:t>
      </w:r>
      <w:r w:rsidR="00446392">
        <w:t xml:space="preserve">, as </w:t>
      </w:r>
      <w:r w:rsidR="00140640">
        <w:t xml:space="preserve">described in the BBT PowerPoint handout and other materials, as </w:t>
      </w:r>
      <w:r w:rsidR="00446392">
        <w:t>follows</w:t>
      </w:r>
      <w:r w:rsidR="00A601FA">
        <w:t>:</w:t>
      </w:r>
    </w:p>
    <w:p w14:paraId="3F991D16" w14:textId="1D663AE3" w:rsidR="00B4322F" w:rsidRDefault="00140640" w:rsidP="00210321">
      <w:pPr>
        <w:pStyle w:val="ListParagraph"/>
        <w:numPr>
          <w:ilvl w:val="0"/>
          <w:numId w:val="6"/>
        </w:numPr>
        <w:spacing w:after="0"/>
      </w:pPr>
      <w:r>
        <w:t>Cash b</w:t>
      </w:r>
      <w:r w:rsidR="00B4322F">
        <w:t xml:space="preserve">enefits </w:t>
      </w:r>
      <w:r w:rsidR="007E0EE8">
        <w:t xml:space="preserve">for income maintenance purposes </w:t>
      </w:r>
      <w:r w:rsidR="00B4322F">
        <w:t>that</w:t>
      </w:r>
      <w:r>
        <w:t xml:space="preserve"> </w:t>
      </w:r>
      <w:r>
        <w:rPr>
          <w:i/>
        </w:rPr>
        <w:t xml:space="preserve">do </w:t>
      </w:r>
      <w:r w:rsidR="00B4322F">
        <w:t>factor into public charge determinations under current policies</w:t>
      </w:r>
      <w:r w:rsidR="003466C1">
        <w:t>;</w:t>
      </w:r>
      <w:r w:rsidR="00B4322F">
        <w:t xml:space="preserve"> </w:t>
      </w:r>
    </w:p>
    <w:p w14:paraId="6FFDA649" w14:textId="623CC1A7" w:rsidR="00A601FA" w:rsidRDefault="00A601FA" w:rsidP="00210321">
      <w:pPr>
        <w:pStyle w:val="ListParagraph"/>
        <w:numPr>
          <w:ilvl w:val="0"/>
          <w:numId w:val="6"/>
        </w:numPr>
        <w:spacing w:after="0"/>
      </w:pPr>
      <w:r>
        <w:lastRenderedPageBreak/>
        <w:t xml:space="preserve">Benefits </w:t>
      </w:r>
      <w:r w:rsidR="00EC6AC5">
        <w:t>that</w:t>
      </w:r>
      <w:r>
        <w:t xml:space="preserve"> are</w:t>
      </w:r>
      <w:r w:rsidR="009A39BE">
        <w:t xml:space="preserve"> </w:t>
      </w:r>
      <w:r w:rsidR="009A39BE" w:rsidRPr="00A601FA">
        <w:rPr>
          <w:i/>
        </w:rPr>
        <w:t xml:space="preserve">not </w:t>
      </w:r>
      <w:r w:rsidR="00EC6AC5" w:rsidRPr="00A601FA">
        <w:rPr>
          <w:i/>
        </w:rPr>
        <w:t>relevant</w:t>
      </w:r>
      <w:r w:rsidR="009A39BE">
        <w:t xml:space="preserve"> to public charge inadmissibility </w:t>
      </w:r>
      <w:r w:rsidR="00EC6AC5">
        <w:t>determin</w:t>
      </w:r>
      <w:r>
        <w:t>ations</w:t>
      </w:r>
      <w:r w:rsidR="00E03C6D">
        <w:t xml:space="preserve">, even under the proposed </w:t>
      </w:r>
      <w:r w:rsidR="00140640">
        <w:t xml:space="preserve">2018 </w:t>
      </w:r>
      <w:r w:rsidR="00E03C6D">
        <w:t>rule</w:t>
      </w:r>
      <w:r>
        <w:t>;</w:t>
      </w:r>
      <w:r w:rsidR="00B4322F">
        <w:t xml:space="preserve"> and</w:t>
      </w:r>
    </w:p>
    <w:p w14:paraId="70E141CB" w14:textId="77777777" w:rsidR="00A601FA" w:rsidRDefault="00B4322F" w:rsidP="00210321">
      <w:pPr>
        <w:pStyle w:val="ListParagraph"/>
        <w:numPr>
          <w:ilvl w:val="0"/>
          <w:numId w:val="6"/>
        </w:numPr>
        <w:spacing w:after="0"/>
      </w:pPr>
      <w:r>
        <w:t>B</w:t>
      </w:r>
      <w:r w:rsidR="00EC6AC5">
        <w:t xml:space="preserve">enefits that </w:t>
      </w:r>
      <w:r w:rsidR="00EC6AC5" w:rsidRPr="00A601FA">
        <w:rPr>
          <w:i/>
        </w:rPr>
        <w:t xml:space="preserve">may factor </w:t>
      </w:r>
      <w:r w:rsidR="00EC6AC5">
        <w:t>into such determinations</w:t>
      </w:r>
      <w:r w:rsidR="00A601FA">
        <w:t>,</w:t>
      </w:r>
      <w:r w:rsidR="00EC6AC5">
        <w:t xml:space="preserve"> if the </w:t>
      </w:r>
      <w:r w:rsidR="00A601FA">
        <w:t>20</w:t>
      </w:r>
      <w:r w:rsidR="00EC6AC5">
        <w:t xml:space="preserve">18 proposed </w:t>
      </w:r>
      <w:r w:rsidR="00E03C6D">
        <w:t>rule</w:t>
      </w:r>
      <w:r w:rsidR="00EC6AC5">
        <w:t xml:space="preserve"> is published as a final rule</w:t>
      </w:r>
      <w:r w:rsidR="00F877C6">
        <w:t>, depending on the timing</w:t>
      </w:r>
      <w:r w:rsidR="00210321">
        <w:t>,</w:t>
      </w:r>
      <w:r w:rsidR="00F877C6">
        <w:t xml:space="preserve"> amount</w:t>
      </w:r>
      <w:r w:rsidR="00210321">
        <w:t>, and duration</w:t>
      </w:r>
      <w:r w:rsidR="00F877C6">
        <w:t xml:space="preserve"> of </w:t>
      </w:r>
      <w:r w:rsidR="00E03C6D">
        <w:t xml:space="preserve">relevant </w:t>
      </w:r>
      <w:r w:rsidR="00F877C6">
        <w:t>benefits received</w:t>
      </w:r>
      <w:r w:rsidR="00EC6AC5">
        <w:t>.</w:t>
      </w:r>
      <w:r w:rsidR="00F877C6">
        <w:t xml:space="preserve"> </w:t>
      </w:r>
    </w:p>
    <w:p w14:paraId="7E5DE9A3" w14:textId="1ADBCD7F" w:rsidR="00F877C6" w:rsidRPr="007E0EE8" w:rsidRDefault="007E0EE8" w:rsidP="00140640">
      <w:pPr>
        <w:ind w:left="360"/>
      </w:pPr>
      <w:r>
        <w:t xml:space="preserve">There is a Quick Chart of these benefits on page </w:t>
      </w:r>
      <w:r w:rsidR="00954F52">
        <w:t>4</w:t>
      </w:r>
      <w:r>
        <w:t xml:space="preserve"> below. (See the BBT </w:t>
      </w:r>
      <w:r w:rsidR="00954F52">
        <w:t>m</w:t>
      </w:r>
      <w:r>
        <w:t>aterials</w:t>
      </w:r>
      <w:r w:rsidR="00954F52">
        <w:t xml:space="preserve"> for more detail</w:t>
      </w:r>
      <w:r>
        <w:t xml:space="preserve">.) </w:t>
      </w:r>
    </w:p>
    <w:p w14:paraId="7ABB3360" w14:textId="6CCC1855" w:rsidR="007E0EE8" w:rsidRDefault="007E0EE8" w:rsidP="007E0EE8">
      <w:pPr>
        <w:spacing w:before="0" w:after="0"/>
        <w:ind w:left="1440" w:firstLine="720"/>
      </w:pPr>
    </w:p>
    <w:p w14:paraId="707F1114" w14:textId="77777777" w:rsidR="00954F52" w:rsidRPr="00954F52" w:rsidRDefault="001F3139" w:rsidP="00954F52">
      <w:pPr>
        <w:pStyle w:val="ListParagraph"/>
        <w:numPr>
          <w:ilvl w:val="0"/>
          <w:numId w:val="28"/>
        </w:numPr>
        <w:spacing w:before="0" w:after="0"/>
        <w:ind w:left="360"/>
      </w:pPr>
      <w:r w:rsidRPr="00954F52">
        <w:rPr>
          <w:u w:val="single"/>
        </w:rPr>
        <w:t xml:space="preserve">What is the immigrant’s current status and/or what </w:t>
      </w:r>
      <w:r w:rsidR="0006214C" w:rsidRPr="00954F52">
        <w:rPr>
          <w:u w:val="single"/>
        </w:rPr>
        <w:t xml:space="preserve">status </w:t>
      </w:r>
      <w:r w:rsidRPr="00954F52">
        <w:rPr>
          <w:u w:val="single"/>
        </w:rPr>
        <w:t>will the person be seeking?</w:t>
      </w:r>
    </w:p>
    <w:p w14:paraId="20E5BCF0" w14:textId="77777777" w:rsidR="00606886" w:rsidRDefault="00606886" w:rsidP="00606886">
      <w:pPr>
        <w:spacing w:before="0" w:after="0"/>
      </w:pPr>
    </w:p>
    <w:p w14:paraId="77EE2046" w14:textId="73A9DB37" w:rsidR="001F3139" w:rsidRPr="0006214C" w:rsidRDefault="001F3139" w:rsidP="00606886">
      <w:pPr>
        <w:spacing w:before="0" w:after="0"/>
      </w:pPr>
      <w:r>
        <w:t xml:space="preserve">Immigrants may have a status that is or is not affected by public charge rules. </w:t>
      </w:r>
      <w:r w:rsidR="00AB3EC2">
        <w:t>(</w:t>
      </w:r>
      <w:r>
        <w:t>See the BBT PowerPoint.</w:t>
      </w:r>
      <w:r w:rsidR="00AB3EC2">
        <w:t>)</w:t>
      </w:r>
      <w:r>
        <w:t xml:space="preserve"> Some immigrants with an exempt status may seek a superior status that </w:t>
      </w:r>
      <w:r w:rsidRPr="00606886">
        <w:rPr>
          <w:i/>
        </w:rPr>
        <w:t>is</w:t>
      </w:r>
      <w:r>
        <w:t xml:space="preserve"> affected by public charge rules, while others may have a </w:t>
      </w:r>
      <w:r w:rsidRPr="00606886">
        <w:rPr>
          <w:i/>
        </w:rPr>
        <w:t>choice of statuses</w:t>
      </w:r>
      <w:r>
        <w:t xml:space="preserve"> – some of which may entail public charge consequences and some of which may not. These </w:t>
      </w:r>
      <w:r w:rsidR="00993125">
        <w:t>choices</w:t>
      </w:r>
      <w:r>
        <w:t xml:space="preserve"> should be discussed with an immigration attorney. </w:t>
      </w:r>
    </w:p>
    <w:p w14:paraId="6B03CFF1" w14:textId="77777777" w:rsidR="001F3139" w:rsidRDefault="001F3139" w:rsidP="001F3139">
      <w:pPr>
        <w:spacing w:before="0" w:after="0"/>
      </w:pPr>
    </w:p>
    <w:p w14:paraId="7C9B34F4" w14:textId="58A97D46" w:rsidR="001F3139" w:rsidRDefault="00954F52" w:rsidP="00606886">
      <w:pPr>
        <w:spacing w:before="0" w:after="0"/>
      </w:pPr>
      <w:r>
        <w:t>I</w:t>
      </w:r>
      <w:r w:rsidR="00993125">
        <w:t>t is helpful</w:t>
      </w:r>
      <w:r w:rsidR="001F3139">
        <w:t xml:space="preserve"> to determine whether </w:t>
      </w:r>
      <w:r>
        <w:t xml:space="preserve">an immigrant seeking status </w:t>
      </w:r>
      <w:r w:rsidR="001F3139">
        <w:t>fall</w:t>
      </w:r>
      <w:r>
        <w:t>s</w:t>
      </w:r>
      <w:r w:rsidR="001F3139">
        <w:t xml:space="preserve"> into the following situations</w:t>
      </w:r>
      <w:r w:rsidR="00141DB7">
        <w:t xml:space="preserve"> </w:t>
      </w:r>
      <w:r>
        <w:t xml:space="preserve">before </w:t>
      </w:r>
      <w:r w:rsidR="00141DB7">
        <w:t>assessing</w:t>
      </w:r>
      <w:r w:rsidR="00993125">
        <w:t xml:space="preserve"> a public charge risk for receiving a relevant benefit</w:t>
      </w:r>
      <w:r w:rsidR="001F3139">
        <w:t>:</w:t>
      </w:r>
    </w:p>
    <w:p w14:paraId="2D3AFDA9" w14:textId="77777777" w:rsidR="00024F36" w:rsidRDefault="00024F36" w:rsidP="001F3139">
      <w:pPr>
        <w:spacing w:before="0" w:after="0"/>
        <w:ind w:left="360"/>
      </w:pPr>
    </w:p>
    <w:p w14:paraId="3878C338" w14:textId="5B6F48DA" w:rsidR="006F7027" w:rsidRDefault="001F3139" w:rsidP="00606886">
      <w:pPr>
        <w:spacing w:before="0" w:after="0"/>
        <w:ind w:firstLine="360"/>
      </w:pPr>
      <w:r>
        <w:t>-</w:t>
      </w:r>
      <w:r w:rsidR="00993125">
        <w:t xml:space="preserve">Seeking </w:t>
      </w:r>
      <w:r>
        <w:t>“</w:t>
      </w:r>
      <w:r w:rsidR="00993125">
        <w:t>a</w:t>
      </w:r>
      <w:r w:rsidR="006F7027">
        <w:t>djustment of status</w:t>
      </w:r>
      <w:r>
        <w:t>”</w:t>
      </w:r>
      <w:r w:rsidR="006F7027">
        <w:t xml:space="preserve"> to LPR </w:t>
      </w:r>
      <w:r>
        <w:t>(“</w:t>
      </w:r>
      <w:r w:rsidR="00993125">
        <w:t>g</w:t>
      </w:r>
      <w:r>
        <w:t>reen card” holder</w:t>
      </w:r>
      <w:r w:rsidR="00993125">
        <w:t>)</w:t>
      </w:r>
      <w:r>
        <w:t xml:space="preserve"> </w:t>
      </w:r>
      <w:r w:rsidR="006F7027">
        <w:t>via family relationship</w:t>
      </w:r>
      <w:r w:rsidR="0031001C">
        <w:t xml:space="preserve"> or other pathway </w:t>
      </w:r>
      <w:r>
        <w:t xml:space="preserve">that is </w:t>
      </w:r>
      <w:r>
        <w:rPr>
          <w:i/>
        </w:rPr>
        <w:t>not</w:t>
      </w:r>
      <w:r w:rsidR="0031001C">
        <w:t xml:space="preserve"> exempt</w:t>
      </w:r>
      <w:r>
        <w:t xml:space="preserve"> from public charge</w:t>
      </w:r>
      <w:r w:rsidR="00993125">
        <w:t xml:space="preserve"> and may therefore entail a public charge risk, depending on the timing issues in number 3 below and a more complete assessment of public charge risk factors by an immigration attorney.</w:t>
      </w:r>
    </w:p>
    <w:p w14:paraId="0BE60693" w14:textId="6A9EFA4F" w:rsidR="00D12527" w:rsidRDefault="00FE43E5" w:rsidP="00606886">
      <w:pPr>
        <w:ind w:firstLine="360"/>
      </w:pPr>
      <w:r>
        <w:t>-</w:t>
      </w:r>
      <w:r w:rsidR="00993125">
        <w:t>Seeking “a</w:t>
      </w:r>
      <w:r w:rsidR="00D97329">
        <w:t>djustment of status</w:t>
      </w:r>
      <w:r w:rsidR="006F7027">
        <w:t xml:space="preserve"> </w:t>
      </w:r>
      <w:r w:rsidR="00B6393B">
        <w:t xml:space="preserve">to LPR </w:t>
      </w:r>
      <w:r w:rsidR="00993125">
        <w:t xml:space="preserve">(“green card” holder) </w:t>
      </w:r>
      <w:r w:rsidR="00606886">
        <w:t xml:space="preserve">through a public charge exempt </w:t>
      </w:r>
      <w:r w:rsidR="006F7027">
        <w:t>pathway</w:t>
      </w:r>
      <w:r w:rsidR="00993125">
        <w:t xml:space="preserve"> which therefore entails no public charge risk to obtain that particular status.</w:t>
      </w:r>
      <w:r w:rsidR="00C72260">
        <w:t xml:space="preserve"> </w:t>
      </w:r>
      <w:r w:rsidR="00D97329">
        <w:t xml:space="preserve"> </w:t>
      </w:r>
    </w:p>
    <w:p w14:paraId="1296F6F8" w14:textId="0B79CFE6" w:rsidR="00FE43E5" w:rsidRDefault="00A06D90" w:rsidP="00606886">
      <w:pPr>
        <w:ind w:firstLine="360"/>
      </w:pPr>
      <w:r>
        <w:t xml:space="preserve">-Seeking another type of non-LPR status (e.g. asylum) that is exempt from public charge and therefore entails no public charge risk to obtain that particular status </w:t>
      </w:r>
    </w:p>
    <w:p w14:paraId="448D3919" w14:textId="45CA4856" w:rsidR="00D12527" w:rsidRDefault="00FE43E5" w:rsidP="00606886">
      <w:pPr>
        <w:ind w:firstLine="360"/>
      </w:pPr>
      <w:r>
        <w:t>-</w:t>
      </w:r>
      <w:r w:rsidR="00993125">
        <w:t>Seeking a n</w:t>
      </w:r>
      <w:r w:rsidR="00D60B44">
        <w:t xml:space="preserve">on-LPR status </w:t>
      </w:r>
      <w:r w:rsidR="00993125">
        <w:t xml:space="preserve">that is </w:t>
      </w:r>
      <w:r w:rsidR="00993125">
        <w:rPr>
          <w:i/>
        </w:rPr>
        <w:t>not</w:t>
      </w:r>
      <w:r w:rsidR="00D60B44">
        <w:t xml:space="preserve"> exempt from public charge</w:t>
      </w:r>
      <w:r w:rsidR="00993125">
        <w:t xml:space="preserve"> and may therefore entail a public charge risk, depending on the timing issues in number 3 below and a more complete assessment of public charge risk factors by an immigration attorney.</w:t>
      </w:r>
    </w:p>
    <w:p w14:paraId="028D761E" w14:textId="21B1DF42" w:rsidR="00D12527" w:rsidRDefault="00FE43E5" w:rsidP="00606886">
      <w:pPr>
        <w:ind w:firstLine="360"/>
      </w:pPr>
      <w:r>
        <w:t>-</w:t>
      </w:r>
      <w:r w:rsidR="00993125">
        <w:t>Seeking “c</w:t>
      </w:r>
      <w:r w:rsidR="0031001C">
        <w:t>onsular processing</w:t>
      </w:r>
      <w:r w:rsidR="00993125">
        <w:t>”</w:t>
      </w:r>
      <w:r w:rsidR="0031001C">
        <w:t xml:space="preserve"> for </w:t>
      </w:r>
      <w:r w:rsidR="00993125">
        <w:t xml:space="preserve">an </w:t>
      </w:r>
      <w:r w:rsidR="0031001C">
        <w:t xml:space="preserve">immigrant visa </w:t>
      </w:r>
      <w:r w:rsidR="00993125">
        <w:t xml:space="preserve">abroad </w:t>
      </w:r>
      <w:r w:rsidR="0031001C">
        <w:t>based on family relationship or other</w:t>
      </w:r>
      <w:r w:rsidR="00993125">
        <w:t xml:space="preserve"> </w:t>
      </w:r>
      <w:r w:rsidR="0031001C">
        <w:t xml:space="preserve">consular processing </w:t>
      </w:r>
      <w:r w:rsidR="00993125">
        <w:t xml:space="preserve">that is </w:t>
      </w:r>
      <w:r w:rsidR="0031001C">
        <w:t>not exempt from public charge</w:t>
      </w:r>
      <w:r w:rsidR="00141DB7">
        <w:t>. Whether an immigrant must seek consular processing is a complex question that</w:t>
      </w:r>
      <w:r w:rsidR="00993125">
        <w:t xml:space="preserve"> should be discussed with an immigration attorney. </w:t>
      </w:r>
    </w:p>
    <w:p w14:paraId="3F512D40" w14:textId="77777777" w:rsidR="00024F36" w:rsidRDefault="00024F36" w:rsidP="00954F52">
      <w:pPr>
        <w:ind w:left="360" w:firstLine="360"/>
      </w:pPr>
    </w:p>
    <w:p w14:paraId="07F91EC4" w14:textId="4CD000D9" w:rsidR="00FE43E5" w:rsidRPr="00954F52" w:rsidRDefault="00A06D90" w:rsidP="00954F52">
      <w:pPr>
        <w:rPr>
          <w:u w:val="single"/>
        </w:rPr>
      </w:pPr>
      <w:r>
        <w:rPr>
          <w:u w:val="single"/>
        </w:rPr>
        <w:t>3. What</w:t>
      </w:r>
      <w:r w:rsidR="00954F52">
        <w:rPr>
          <w:u w:val="single"/>
        </w:rPr>
        <w:t xml:space="preserve"> is the </w:t>
      </w:r>
      <w:r w:rsidR="0006214C" w:rsidRPr="00954F52">
        <w:rPr>
          <w:u w:val="single"/>
        </w:rPr>
        <w:t>Timing</w:t>
      </w:r>
      <w:r w:rsidR="00FE43E5" w:rsidRPr="00954F52">
        <w:rPr>
          <w:u w:val="single"/>
        </w:rPr>
        <w:t>/Duration</w:t>
      </w:r>
      <w:r w:rsidR="009C5070" w:rsidRPr="00954F52">
        <w:rPr>
          <w:u w:val="single"/>
        </w:rPr>
        <w:t>/Amount</w:t>
      </w:r>
      <w:r w:rsidR="00FE43E5" w:rsidRPr="00954F52">
        <w:rPr>
          <w:u w:val="single"/>
        </w:rPr>
        <w:t xml:space="preserve"> </w:t>
      </w:r>
      <w:r w:rsidR="0006214C" w:rsidRPr="00954F52">
        <w:rPr>
          <w:u w:val="single"/>
        </w:rPr>
        <w:t xml:space="preserve">of </w:t>
      </w:r>
      <w:r w:rsidR="00FE43E5" w:rsidRPr="00954F52">
        <w:rPr>
          <w:u w:val="single"/>
        </w:rPr>
        <w:t xml:space="preserve">Each Relevant </w:t>
      </w:r>
      <w:r w:rsidR="0006214C" w:rsidRPr="00954F52">
        <w:rPr>
          <w:u w:val="single"/>
        </w:rPr>
        <w:t xml:space="preserve">Benefit </w:t>
      </w:r>
      <w:r w:rsidR="0031001C" w:rsidRPr="00954F52">
        <w:rPr>
          <w:u w:val="single"/>
        </w:rPr>
        <w:t>Recei</w:t>
      </w:r>
      <w:r w:rsidR="00C44C18" w:rsidRPr="00954F52">
        <w:rPr>
          <w:u w:val="single"/>
        </w:rPr>
        <w:t>ved</w:t>
      </w:r>
      <w:r w:rsidR="0031001C" w:rsidRPr="00954F52">
        <w:rPr>
          <w:u w:val="single"/>
        </w:rPr>
        <w:t xml:space="preserve"> </w:t>
      </w:r>
      <w:r w:rsidR="0006214C" w:rsidRPr="00954F52">
        <w:rPr>
          <w:u w:val="single"/>
        </w:rPr>
        <w:t xml:space="preserve">&amp; Timing of </w:t>
      </w:r>
      <w:r w:rsidR="0031001C" w:rsidRPr="00954F52">
        <w:rPr>
          <w:u w:val="single"/>
        </w:rPr>
        <w:t>Filing/A</w:t>
      </w:r>
      <w:r w:rsidR="0006214C" w:rsidRPr="00954F52">
        <w:rPr>
          <w:u w:val="single"/>
        </w:rPr>
        <w:t>djudication</w:t>
      </w:r>
      <w:r w:rsidR="0031001C" w:rsidRPr="00954F52">
        <w:rPr>
          <w:u w:val="single"/>
        </w:rPr>
        <w:t xml:space="preserve"> of Status Application</w:t>
      </w:r>
      <w:r w:rsidR="00156214" w:rsidRPr="00954F52">
        <w:rPr>
          <w:u w:val="single"/>
        </w:rPr>
        <w:t xml:space="preserve"> to Which Public Charge Rules </w:t>
      </w:r>
      <w:r w:rsidR="00954F52">
        <w:rPr>
          <w:u w:val="single"/>
        </w:rPr>
        <w:t xml:space="preserve">Will </w:t>
      </w:r>
      <w:r w:rsidR="00156214" w:rsidRPr="00954F52">
        <w:rPr>
          <w:u w:val="single"/>
        </w:rPr>
        <w:t>Apply</w:t>
      </w:r>
      <w:r w:rsidR="00954F52">
        <w:rPr>
          <w:u w:val="single"/>
        </w:rPr>
        <w:t>?</w:t>
      </w:r>
    </w:p>
    <w:p w14:paraId="7B1DEBB7" w14:textId="7006E47B" w:rsidR="00D60B44" w:rsidRDefault="002D57EE" w:rsidP="002D57EE">
      <w:pPr>
        <w:pStyle w:val="ListParagraph"/>
        <w:numPr>
          <w:ilvl w:val="0"/>
          <w:numId w:val="4"/>
        </w:numPr>
      </w:pPr>
      <w:r>
        <w:t xml:space="preserve">When will the </w:t>
      </w:r>
      <w:r w:rsidR="00156214">
        <w:t xml:space="preserve">immigrant </w:t>
      </w:r>
      <w:r>
        <w:t xml:space="preserve">be applying </w:t>
      </w:r>
      <w:r w:rsidR="0031001C">
        <w:t xml:space="preserve">for </w:t>
      </w:r>
      <w:r w:rsidR="00CE564B">
        <w:t xml:space="preserve">status </w:t>
      </w:r>
      <w:r w:rsidR="0031001C">
        <w:t>or expect to be interviewed</w:t>
      </w:r>
      <w:r w:rsidR="00156214">
        <w:t xml:space="preserve"> for a status to which public charge rules apply</w:t>
      </w:r>
      <w:r>
        <w:t>?</w:t>
      </w:r>
    </w:p>
    <w:p w14:paraId="5A3B05DB" w14:textId="041E9203" w:rsidR="00606886" w:rsidRDefault="0031001C" w:rsidP="00606886">
      <w:pPr>
        <w:pStyle w:val="ListParagraph"/>
        <w:numPr>
          <w:ilvl w:val="0"/>
          <w:numId w:val="4"/>
        </w:numPr>
        <w:spacing w:before="0" w:after="0"/>
      </w:pPr>
      <w:r>
        <w:t xml:space="preserve">For what periods has </w:t>
      </w:r>
      <w:r w:rsidR="00156214">
        <w:t xml:space="preserve">the immigrant </w:t>
      </w:r>
      <w:r>
        <w:t>been receiving each of the benefits?</w:t>
      </w:r>
    </w:p>
    <w:p w14:paraId="23D4318B" w14:textId="77777777" w:rsidR="00606886" w:rsidRDefault="00606886" w:rsidP="00606886">
      <w:pPr>
        <w:pStyle w:val="ListParagraph"/>
        <w:spacing w:before="0" w:after="0"/>
        <w:ind w:left="1620"/>
      </w:pPr>
    </w:p>
    <w:p w14:paraId="5554759B" w14:textId="1D428735" w:rsidR="00156214" w:rsidRDefault="00156214" w:rsidP="00606886">
      <w:pPr>
        <w:spacing w:before="0" w:after="0"/>
      </w:pPr>
      <w:r>
        <w:t xml:space="preserve">If an immigrant is </w:t>
      </w:r>
      <w:r w:rsidRPr="00214EA2">
        <w:rPr>
          <w:u w:val="single"/>
        </w:rPr>
        <w:t>applying for status now and likely to</w:t>
      </w:r>
      <w:r>
        <w:rPr>
          <w:u w:val="single"/>
        </w:rPr>
        <w:t xml:space="preserve"> </w:t>
      </w:r>
      <w:r w:rsidRPr="00214EA2">
        <w:rPr>
          <w:u w:val="single"/>
        </w:rPr>
        <w:t>be interviewed</w:t>
      </w:r>
      <w:r>
        <w:t xml:space="preserve"> at any</w:t>
      </w:r>
      <w:r w:rsidR="00954F52">
        <w:t xml:space="preserve"> </w:t>
      </w:r>
      <w:r>
        <w:t xml:space="preserve">time prior to publication of a final public charge rule, </w:t>
      </w:r>
      <w:r w:rsidRPr="00156214">
        <w:rPr>
          <w:i/>
        </w:rPr>
        <w:t xml:space="preserve">if </w:t>
      </w:r>
      <w:r>
        <w:t xml:space="preserve">one is ultimately finalized by DHS, </w:t>
      </w:r>
      <w:r w:rsidRPr="009C5070">
        <w:rPr>
          <w:i/>
        </w:rPr>
        <w:t xml:space="preserve">current </w:t>
      </w:r>
      <w:r>
        <w:t>public charge rules, including those distinguishing the receipt of cash versus non-cash benefits, must continue to apply</w:t>
      </w:r>
      <w:r w:rsidR="00057134">
        <w:t xml:space="preserve">. Even if a rule is finalized, immigrants </w:t>
      </w:r>
      <w:r>
        <w:t xml:space="preserve">will have additional time to decide whether to dis-enroll from any of the noncash benefit programs covered by the final rule, which will apply only to those covered non-cash benefits received </w:t>
      </w:r>
      <w:r>
        <w:rPr>
          <w:u w:val="single"/>
        </w:rPr>
        <w:t xml:space="preserve">60 </w:t>
      </w:r>
      <w:r w:rsidRPr="00E704A2">
        <w:rPr>
          <w:u w:val="single"/>
        </w:rPr>
        <w:t>days</w:t>
      </w:r>
      <w:r>
        <w:t xml:space="preserve"> after the rule is published. </w:t>
      </w:r>
    </w:p>
    <w:p w14:paraId="3A63E55F" w14:textId="77777777" w:rsidR="00606886" w:rsidRDefault="00606886" w:rsidP="00024F36"/>
    <w:p w14:paraId="629C60C8" w14:textId="0A822F62" w:rsidR="00156214" w:rsidRDefault="00024F36" w:rsidP="00024F36">
      <w:r>
        <w:lastRenderedPageBreak/>
        <w:t>A</w:t>
      </w:r>
      <w:r w:rsidR="00156214">
        <w:t xml:space="preserve">dditionally, the rule contains </w:t>
      </w:r>
      <w:r w:rsidR="00156214" w:rsidRPr="0096122E">
        <w:rPr>
          <w:u w:val="single"/>
        </w:rPr>
        <w:t>minimum thresholds</w:t>
      </w:r>
      <w:r w:rsidR="00156214">
        <w:t xml:space="preserve"> for receiving non-cash benefits in order for them to count, and some immigrants may be able to retain their benefits for a limited period beyond the 60-days. There are two significant thresholds for any of these newly added non-cash benefits to count</w:t>
      </w:r>
      <w:r w:rsidR="00057134">
        <w:t>.</w:t>
      </w:r>
    </w:p>
    <w:p w14:paraId="3C88201A" w14:textId="6B81C561" w:rsidR="00156214" w:rsidRDefault="00156214" w:rsidP="00156214">
      <w:pPr>
        <w:ind w:left="720"/>
      </w:pPr>
      <w:r>
        <w:t xml:space="preserve">-For a single non-cash benefit that can be quantified (a “monetizable benefit”), the threshold would be </w:t>
      </w:r>
      <w:r w:rsidRPr="004E452A">
        <w:rPr>
          <w:u w:val="single"/>
        </w:rPr>
        <w:t>15% of the poverty level for a single person</w:t>
      </w:r>
      <w:r>
        <w:t xml:space="preserve"> (currently $1,821) in a 12-month period. Those benefits are: SNAP (food stamps)</w:t>
      </w:r>
      <w:r w:rsidR="00057134">
        <w:t xml:space="preserve"> and </w:t>
      </w:r>
      <w:r>
        <w:t>Federal housing - Section 8 program &amp; other covered housing except Public Housing</w:t>
      </w:r>
      <w:r w:rsidR="00057134">
        <w:t>. But</w:t>
      </w:r>
      <w:r>
        <w:t xml:space="preserve"> the 15% threshold will </w:t>
      </w:r>
      <w:r>
        <w:rPr>
          <w:u w:val="single"/>
        </w:rPr>
        <w:t>also apply to cash benefits that already counted</w:t>
      </w:r>
      <w:r>
        <w:t xml:space="preserve"> under existing public charge guidelines.</w:t>
      </w:r>
    </w:p>
    <w:p w14:paraId="5026D2BF" w14:textId="66D3EC2B" w:rsidR="00156214" w:rsidRDefault="00156214" w:rsidP="00057134">
      <w:pPr>
        <w:ind w:left="720"/>
      </w:pPr>
      <w:r>
        <w:t>-For a single non-cash benefit with an undetermined value (a “nonmonetizable benefit”), the limit would be 12 months in a 36-month period, or 9 months if a person received both kinds of benefits (monetizable and nonmonetizable). The nonmonetizable benefits are:</w:t>
      </w:r>
      <w:r w:rsidR="00057134">
        <w:t xml:space="preserve">  </w:t>
      </w:r>
      <w:r>
        <w:t>Non-emergency Medicaid</w:t>
      </w:r>
      <w:r w:rsidR="00057134">
        <w:t>,</w:t>
      </w:r>
      <w:r>
        <w:t xml:space="preserve"> </w:t>
      </w:r>
      <w:r w:rsidR="00057134">
        <w:t xml:space="preserve">Medicare Part D/fully insured, and </w:t>
      </w:r>
      <w:r>
        <w:t>Federal housing - Public Housing program</w:t>
      </w:r>
      <w:r w:rsidR="00057134">
        <w:t xml:space="preserve">. </w:t>
      </w:r>
      <w:r>
        <w:t xml:space="preserve">The receipt of </w:t>
      </w:r>
      <w:r w:rsidRPr="00087A1A">
        <w:rPr>
          <w:u w:val="single"/>
        </w:rPr>
        <w:t>two nonmonetizable benefits</w:t>
      </w:r>
      <w:r>
        <w:t xml:space="preserve"> in one month counts as two months, and long-term care at government expense, which is already included under current public charge guidelines, is also a nonmonetizable benefit.</w:t>
      </w:r>
    </w:p>
    <w:p w14:paraId="66791B8D" w14:textId="4DA68911" w:rsidR="00156214" w:rsidRDefault="00156214" w:rsidP="00606886">
      <w:pPr>
        <w:ind w:left="720"/>
      </w:pPr>
      <w:r>
        <w:t xml:space="preserve">These minimum thresholds mean a client who has received a </w:t>
      </w:r>
      <w:r>
        <w:rPr>
          <w:u w:val="single"/>
        </w:rPr>
        <w:t>single</w:t>
      </w:r>
      <w:r w:rsidRPr="00E6522F">
        <w:rPr>
          <w:u w:val="single"/>
        </w:rPr>
        <w:t xml:space="preserve"> benefit</w:t>
      </w:r>
      <w:r>
        <w:t xml:space="preserve"> in either category (</w:t>
      </w:r>
      <w:proofErr w:type="spellStart"/>
      <w:r>
        <w:t>monetizable</w:t>
      </w:r>
      <w:proofErr w:type="spellEnd"/>
      <w:r>
        <w:t xml:space="preserve"> or </w:t>
      </w:r>
      <w:proofErr w:type="spellStart"/>
      <w:r>
        <w:t>nonmonetizable</w:t>
      </w:r>
      <w:proofErr w:type="spellEnd"/>
      <w:r>
        <w:t xml:space="preserve">) will have some additional time after the 60 day period expires to make a disenrollment decision, if needed. For a client who received </w:t>
      </w:r>
      <w:r w:rsidRPr="0064450A">
        <w:rPr>
          <w:u w:val="single"/>
        </w:rPr>
        <w:t>both</w:t>
      </w:r>
      <w:r>
        <w:t xml:space="preserve"> a monetizable benefit and a nonmonetizable benefit, the 15% threshold will likely be exceeded before the durational one. For a client who has received multiple benefits, including the monetizable cash benefits that already count, the thresholds are of less utility.  </w:t>
      </w:r>
    </w:p>
    <w:p w14:paraId="5A08536C" w14:textId="77777777" w:rsidR="00024F36" w:rsidRDefault="00024F36" w:rsidP="009C5070">
      <w:pPr>
        <w:spacing w:before="0" w:after="0"/>
      </w:pPr>
    </w:p>
    <w:p w14:paraId="0EA3D0D8" w14:textId="0CCA2E36" w:rsidR="00F04D45" w:rsidRPr="00F04D45" w:rsidRDefault="00F04D45" w:rsidP="009C5070">
      <w:pPr>
        <w:spacing w:before="0" w:after="0"/>
      </w:pPr>
      <w:r>
        <w:t>4.</w:t>
      </w:r>
      <w:r w:rsidR="002D57EE">
        <w:t xml:space="preserve"> </w:t>
      </w:r>
      <w:r>
        <w:t xml:space="preserve">  </w:t>
      </w:r>
      <w:r w:rsidR="00141DB7">
        <w:rPr>
          <w:u w:val="single"/>
        </w:rPr>
        <w:t>What E</w:t>
      </w:r>
      <w:r w:rsidR="0031001C" w:rsidRPr="00F04D45">
        <w:rPr>
          <w:u w:val="single"/>
        </w:rPr>
        <w:t xml:space="preserve">vidence of </w:t>
      </w:r>
      <w:r w:rsidR="00141DB7">
        <w:rPr>
          <w:u w:val="single"/>
        </w:rPr>
        <w:t xml:space="preserve">Positive </w:t>
      </w:r>
      <w:r w:rsidRPr="00F04D45">
        <w:rPr>
          <w:u w:val="single"/>
        </w:rPr>
        <w:t>Impact of</w:t>
      </w:r>
      <w:r w:rsidR="0031001C" w:rsidRPr="00F04D45">
        <w:rPr>
          <w:u w:val="single"/>
        </w:rPr>
        <w:t xml:space="preserve"> </w:t>
      </w:r>
      <w:r w:rsidRPr="00F04D45">
        <w:rPr>
          <w:u w:val="single"/>
        </w:rPr>
        <w:t xml:space="preserve">Benefits </w:t>
      </w:r>
      <w:r w:rsidR="0031001C" w:rsidRPr="00F04D45">
        <w:rPr>
          <w:u w:val="single"/>
        </w:rPr>
        <w:t>Received</w:t>
      </w:r>
      <w:r w:rsidR="00141DB7">
        <w:rPr>
          <w:u w:val="single"/>
        </w:rPr>
        <w:t xml:space="preserve"> Exists, </w:t>
      </w:r>
      <w:r w:rsidR="009C5070">
        <w:rPr>
          <w:u w:val="single"/>
        </w:rPr>
        <w:t xml:space="preserve">if </w:t>
      </w:r>
      <w:r w:rsidR="00141DB7">
        <w:rPr>
          <w:u w:val="single"/>
        </w:rPr>
        <w:t>P</w:t>
      </w:r>
      <w:r w:rsidR="009C5070">
        <w:rPr>
          <w:u w:val="single"/>
        </w:rPr>
        <w:t xml:space="preserve">ublic </w:t>
      </w:r>
      <w:r w:rsidR="00141DB7">
        <w:rPr>
          <w:u w:val="single"/>
        </w:rPr>
        <w:t>C</w:t>
      </w:r>
      <w:r w:rsidR="009C5070">
        <w:rPr>
          <w:u w:val="single"/>
        </w:rPr>
        <w:t xml:space="preserve">harge </w:t>
      </w:r>
      <w:r w:rsidR="00141DB7">
        <w:rPr>
          <w:u w:val="single"/>
        </w:rPr>
        <w:t>M</w:t>
      </w:r>
      <w:r w:rsidR="009C5070">
        <w:rPr>
          <w:u w:val="single"/>
        </w:rPr>
        <w:t xml:space="preserve">ay </w:t>
      </w:r>
      <w:r w:rsidR="00141DB7">
        <w:rPr>
          <w:u w:val="single"/>
        </w:rPr>
        <w:t>A</w:t>
      </w:r>
      <w:r w:rsidR="009C5070">
        <w:rPr>
          <w:u w:val="single"/>
        </w:rPr>
        <w:t>pply</w:t>
      </w:r>
      <w:r w:rsidR="00141DB7">
        <w:rPr>
          <w:u w:val="single"/>
        </w:rPr>
        <w:t>?</w:t>
      </w:r>
    </w:p>
    <w:p w14:paraId="3D8FAEE8" w14:textId="367E4554" w:rsidR="0059539E" w:rsidRDefault="00F04D45" w:rsidP="009C5070">
      <w:pPr>
        <w:pStyle w:val="ListParagraph"/>
        <w:numPr>
          <w:ilvl w:val="0"/>
          <w:numId w:val="18"/>
        </w:numPr>
        <w:spacing w:before="0" w:after="0"/>
      </w:pPr>
      <w:r>
        <w:t xml:space="preserve">How has receipt of benefits improved client’s ability to be self-sufficient now and in the future? </w:t>
      </w:r>
    </w:p>
    <w:p w14:paraId="282AE30A" w14:textId="6F4E27D4" w:rsidR="00101DCB" w:rsidRDefault="00057134" w:rsidP="00024F36">
      <w:pPr>
        <w:spacing w:after="0"/>
      </w:pPr>
      <w:r>
        <w:t xml:space="preserve">Some examples of </w:t>
      </w:r>
      <w:r w:rsidR="005B3C31">
        <w:t xml:space="preserve">evidence that </w:t>
      </w:r>
      <w:r>
        <w:t xml:space="preserve">could be developed to help immigrants show that </w:t>
      </w:r>
      <w:r w:rsidR="005B3C31">
        <w:t xml:space="preserve">receiving </w:t>
      </w:r>
      <w:r>
        <w:t>certain</w:t>
      </w:r>
      <w:r w:rsidR="005B3C31">
        <w:t xml:space="preserve"> benefits improved</w:t>
      </w:r>
      <w:r>
        <w:t xml:space="preserve"> self-sufficiency include those that improved</w:t>
      </w:r>
      <w:r w:rsidR="005B3C31">
        <w:t xml:space="preserve"> </w:t>
      </w:r>
      <w:r>
        <w:t>his/her</w:t>
      </w:r>
      <w:r w:rsidR="00606886">
        <w:t>/their</w:t>
      </w:r>
      <w:r w:rsidR="005B3C31">
        <w:t xml:space="preserve"> health, allowing </w:t>
      </w:r>
      <w:r>
        <w:t>the immigrant</w:t>
      </w:r>
      <w:r w:rsidR="005B3C31">
        <w:t xml:space="preserve"> to work</w:t>
      </w:r>
      <w:r w:rsidR="000A4F26">
        <w:t>,</w:t>
      </w:r>
      <w:r w:rsidR="005B3C31">
        <w:t xml:space="preserve"> or </w:t>
      </w:r>
      <w:r w:rsidR="000A4F26">
        <w:t xml:space="preserve">that </w:t>
      </w:r>
      <w:r w:rsidR="00606886">
        <w:t>provided</w:t>
      </w:r>
      <w:r w:rsidR="005B3C31">
        <w:t xml:space="preserve"> </w:t>
      </w:r>
      <w:r w:rsidR="000A4F26">
        <w:t>new</w:t>
      </w:r>
      <w:r w:rsidR="005B3C31">
        <w:t xml:space="preserve"> work skills and experience</w:t>
      </w:r>
      <w:r>
        <w:t>:</w:t>
      </w:r>
      <w:r w:rsidR="005B3C31">
        <w:t xml:space="preserve">  </w:t>
      </w:r>
    </w:p>
    <w:p w14:paraId="4FD5650E" w14:textId="77777777" w:rsidR="00606886" w:rsidRDefault="00606886" w:rsidP="00024F36">
      <w:pPr>
        <w:spacing w:after="0"/>
      </w:pPr>
    </w:p>
    <w:p w14:paraId="1054C6A9" w14:textId="62AF92F1" w:rsidR="00101DCB" w:rsidRDefault="00024F36" w:rsidP="00024F36">
      <w:pPr>
        <w:spacing w:after="0"/>
        <w:ind w:left="720"/>
      </w:pPr>
      <w:r>
        <w:t>-</w:t>
      </w:r>
      <w:r w:rsidR="00101DCB">
        <w:t>HUD, the federal agency responsible for housing programs th</w:t>
      </w:r>
      <w:r w:rsidR="000A4F26">
        <w:t xml:space="preserve">e proposed rule would </w:t>
      </w:r>
      <w:r w:rsidR="00101DCB">
        <w:t>add</w:t>
      </w:r>
      <w:r w:rsidR="00723AFD">
        <w:t>,</w:t>
      </w:r>
      <w:r w:rsidR="00101DCB">
        <w:t xml:space="preserve"> offers tenants </w:t>
      </w:r>
      <w:r w:rsidR="00723AFD">
        <w:t>many</w:t>
      </w:r>
      <w:r w:rsidR="00101DCB">
        <w:t xml:space="preserve"> employment-</w:t>
      </w:r>
      <w:r w:rsidR="00723AFD">
        <w:t xml:space="preserve">enhancing programs, including: </w:t>
      </w:r>
      <w:r w:rsidR="00723AFD" w:rsidRPr="00723AFD">
        <w:t xml:space="preserve">HUD Secretary Ben Carson’s recently unveiled Envision Centers </w:t>
      </w:r>
      <w:r w:rsidR="00697114">
        <w:t xml:space="preserve">to </w:t>
      </w:r>
      <w:r w:rsidR="00723AFD" w:rsidRPr="00723AFD">
        <w:t xml:space="preserve">offer HUD-assisted families access to support services </w:t>
      </w:r>
      <w:r w:rsidR="00697114">
        <w:t>“</w:t>
      </w:r>
      <w:r w:rsidR="00723AFD" w:rsidRPr="00723AFD">
        <w:t>that can help them achi</w:t>
      </w:r>
      <w:r w:rsidR="00723AFD">
        <w:t xml:space="preserve">eve self-sufficiency . . .”; </w:t>
      </w:r>
      <w:r w:rsidR="00723AFD" w:rsidRPr="00723AFD">
        <w:t>HUD’s Jobs Plus program “…which consists of employment services, financial incentives and community supports</w:t>
      </w:r>
      <w:r w:rsidR="006C638B">
        <w:t>…</w:t>
      </w:r>
      <w:r w:rsidR="00723AFD" w:rsidRPr="00723AFD">
        <w:t xml:space="preserve"> associated with increased annual earnings for nondisabled, working-age residents”</w:t>
      </w:r>
      <w:r w:rsidR="00723AFD">
        <w:t>;</w:t>
      </w:r>
      <w:r w:rsidR="00723AFD" w:rsidRPr="00723AFD">
        <w:t xml:space="preserve"> HUD’s Family Self Sufficiency Program</w:t>
      </w:r>
      <w:r w:rsidR="00723AFD">
        <w:t xml:space="preserve">; </w:t>
      </w:r>
      <w:r w:rsidR="00723AFD" w:rsidRPr="00723AFD">
        <w:t xml:space="preserve"> HUD’s Section 3 program</w:t>
      </w:r>
      <w:r w:rsidR="00723AFD">
        <w:t>; and</w:t>
      </w:r>
      <w:r w:rsidR="00723AFD" w:rsidRPr="00723AFD">
        <w:t xml:space="preserve"> HUD’s Family Investment Centers</w:t>
      </w:r>
      <w:r w:rsidR="00723AFD">
        <w:t>.</w:t>
      </w:r>
    </w:p>
    <w:p w14:paraId="1F55F493" w14:textId="55437130" w:rsidR="00101DCB" w:rsidRDefault="00024F36" w:rsidP="00024F36">
      <w:pPr>
        <w:ind w:left="720"/>
      </w:pPr>
      <w:r>
        <w:t>-</w:t>
      </w:r>
      <w:r w:rsidR="000A4F26">
        <w:t>A</w:t>
      </w:r>
      <w:r w:rsidR="005B3C31">
        <w:t xml:space="preserve"> working disabled program that is covered by Medicaid</w:t>
      </w:r>
      <w:r w:rsidR="006C638B">
        <w:t xml:space="preserve"> </w:t>
      </w:r>
      <w:r w:rsidR="005B3C31">
        <w:t>enables individuals with disabilities to work without risking loss of the benefits and supports that make wor</w:t>
      </w:r>
      <w:r w:rsidR="00874D35">
        <w:t>k possible.</w:t>
      </w:r>
    </w:p>
    <w:p w14:paraId="40C211A1" w14:textId="77777777" w:rsidR="00024F36" w:rsidRDefault="00976F0A" w:rsidP="00C219B1">
      <w:r>
        <w:t xml:space="preserve">  </w:t>
      </w:r>
      <w:r w:rsidR="00D13061">
        <w:t xml:space="preserve">   </w:t>
      </w:r>
    </w:p>
    <w:p w14:paraId="023B538F" w14:textId="38BCD2B2" w:rsidR="00D13061" w:rsidRDefault="00057134" w:rsidP="00C219B1">
      <w:r>
        <w:t>I</w:t>
      </w:r>
      <w:r w:rsidR="003671AF">
        <w:t>ndividuals who obtained benefits while in a</w:t>
      </w:r>
      <w:r w:rsidR="004B7801">
        <w:t xml:space="preserve">n </w:t>
      </w:r>
      <w:r w:rsidR="003671AF">
        <w:t>exem</w:t>
      </w:r>
      <w:r w:rsidR="00D13061">
        <w:t>pt status</w:t>
      </w:r>
      <w:r>
        <w:t xml:space="preserve"> but are n</w:t>
      </w:r>
      <w:r w:rsidR="00C219B1">
        <w:t xml:space="preserve">ow seeking a status that is </w:t>
      </w:r>
      <w:r w:rsidR="00C219B1">
        <w:rPr>
          <w:i/>
        </w:rPr>
        <w:t xml:space="preserve">not </w:t>
      </w:r>
      <w:r>
        <w:t xml:space="preserve">exempt from public charge should be </w:t>
      </w:r>
      <w:r w:rsidR="00476CB6">
        <w:t xml:space="preserve">encouraged to consult an immigration attorney for assistance in determining whether the humanitarian </w:t>
      </w:r>
      <w:r w:rsidR="004B7801">
        <w:t xml:space="preserve">Congressional purpose behind </w:t>
      </w:r>
      <w:r w:rsidR="00C219B1">
        <w:t>the</w:t>
      </w:r>
      <w:r w:rsidR="00476CB6">
        <w:t xml:space="preserve"> </w:t>
      </w:r>
      <w:r w:rsidR="004B7801">
        <w:t>exemption</w:t>
      </w:r>
      <w:r w:rsidR="00C219B1">
        <w:t xml:space="preserve"> should protect the immigrant from a negative public charge determination on that basis</w:t>
      </w:r>
      <w:r w:rsidR="00024F36">
        <w:t xml:space="preserve"> and may be able to show how the benefits supported their recovery from the conditions that made them eligible for that status (e.g. domestic violence or persecution.)</w:t>
      </w:r>
      <w:r w:rsidR="00C219B1">
        <w:t xml:space="preserve"> </w:t>
      </w:r>
      <w:r w:rsidR="00D13061">
        <w:t xml:space="preserve"> </w:t>
      </w:r>
    </w:p>
    <w:p w14:paraId="245AF0D2" w14:textId="77777777" w:rsidR="00606886" w:rsidRDefault="00606886" w:rsidP="00024F36">
      <w:pPr>
        <w:jc w:val="center"/>
        <w:rPr>
          <w:b/>
          <w:sz w:val="28"/>
          <w:szCs w:val="28"/>
        </w:rPr>
      </w:pPr>
    </w:p>
    <w:p w14:paraId="61A34F52" w14:textId="77777777" w:rsidR="00024F36" w:rsidRPr="00024F36" w:rsidRDefault="00024F36" w:rsidP="00024F36">
      <w:pPr>
        <w:jc w:val="center"/>
        <w:rPr>
          <w:sz w:val="28"/>
          <w:szCs w:val="28"/>
        </w:rPr>
      </w:pPr>
      <w:r w:rsidRPr="00024F36">
        <w:rPr>
          <w:b/>
          <w:sz w:val="28"/>
          <w:szCs w:val="28"/>
        </w:rPr>
        <w:lastRenderedPageBreak/>
        <w:t>Quick Chart on Public Benefits Eligibility &amp; Public Charge Issues in Light of by Proposed 2018 Public Charge Rule</w:t>
      </w:r>
    </w:p>
    <w:p w14:paraId="5126EE74" w14:textId="77777777" w:rsidR="00024F36" w:rsidRPr="00024F36" w:rsidRDefault="00024F36" w:rsidP="00024F36"/>
    <w:p w14:paraId="5D96C708" w14:textId="77777777" w:rsidR="00024F36" w:rsidRPr="00024F36" w:rsidRDefault="00024F36" w:rsidP="00024F36"/>
    <w:p w14:paraId="7C5E7783" w14:textId="77777777" w:rsidR="00024F36" w:rsidRPr="00024F36" w:rsidRDefault="00024F36" w:rsidP="00024F36">
      <w:r w:rsidRPr="00024F36">
        <w:rPr>
          <w:b/>
        </w:rPr>
        <w:t>Type of Benefit</w:t>
      </w:r>
      <w:r w:rsidRPr="00024F36">
        <w:tab/>
        <w:t xml:space="preserve">             </w:t>
      </w:r>
      <w:r w:rsidRPr="00024F36">
        <w:rPr>
          <w:b/>
        </w:rPr>
        <w:t>Is Immigrant Eligibility Restricted?</w:t>
      </w:r>
      <w:r w:rsidRPr="00024F36">
        <w:t xml:space="preserve">    </w:t>
      </w:r>
      <w:r w:rsidRPr="00024F36">
        <w:rPr>
          <w:b/>
        </w:rPr>
        <w:t>Public Charge Inadmissibility?</w:t>
      </w:r>
      <w:r w:rsidRPr="00024F36">
        <w:t xml:space="preserve"> </w:t>
      </w:r>
    </w:p>
    <w:p w14:paraId="4F1BD539" w14:textId="77777777" w:rsidR="00024F36" w:rsidRPr="00024F36" w:rsidRDefault="00024F36" w:rsidP="00024F36"/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988"/>
        <w:gridCol w:w="3870"/>
        <w:gridCol w:w="3870"/>
      </w:tblGrid>
      <w:tr w:rsidR="00024F36" w:rsidRPr="00024F36" w14:paraId="0E12F47B" w14:textId="77777777" w:rsidTr="00DC036C">
        <w:tc>
          <w:tcPr>
            <w:tcW w:w="2988" w:type="dxa"/>
          </w:tcPr>
          <w:p w14:paraId="79CFD67A" w14:textId="77777777" w:rsidR="00024F36" w:rsidRPr="00024F36" w:rsidRDefault="00024F36" w:rsidP="00024F36">
            <w:pPr>
              <w:rPr>
                <w:u w:val="single"/>
              </w:rPr>
            </w:pPr>
          </w:p>
          <w:p w14:paraId="3564004E" w14:textId="77777777" w:rsidR="00024F36" w:rsidRPr="00024F36" w:rsidRDefault="00024F36" w:rsidP="00024F36">
            <w:pPr>
              <w:rPr>
                <w:u w:val="single"/>
              </w:rPr>
            </w:pPr>
            <w:r w:rsidRPr="00024F36">
              <w:rPr>
                <w:u w:val="single"/>
              </w:rPr>
              <w:t xml:space="preserve">Cash Benefits  </w:t>
            </w:r>
          </w:p>
          <w:p w14:paraId="586C7F16" w14:textId="77777777" w:rsidR="00024F36" w:rsidRPr="00024F36" w:rsidRDefault="00024F36" w:rsidP="00024F36"/>
          <w:p w14:paraId="55544529" w14:textId="77777777" w:rsidR="00024F36" w:rsidRPr="00024F36" w:rsidRDefault="00024F36" w:rsidP="00024F36">
            <w:r w:rsidRPr="00024F36">
              <w:t>-Federal: SSI &amp; TANF</w:t>
            </w:r>
          </w:p>
          <w:p w14:paraId="1CEE0B64" w14:textId="77777777" w:rsidR="00024F36" w:rsidRPr="00024F36" w:rsidRDefault="00024F36" w:rsidP="00024F36">
            <w:r w:rsidRPr="00024F36">
              <w:t>-State: EAEDC</w:t>
            </w:r>
          </w:p>
          <w:p w14:paraId="7337B878" w14:textId="77777777" w:rsidR="00024F36" w:rsidRPr="00024F36" w:rsidRDefault="00024F36" w:rsidP="00024F36">
            <w:r w:rsidRPr="00024F36">
              <w:t xml:space="preserve">   </w:t>
            </w:r>
          </w:p>
          <w:p w14:paraId="3BACB5D3" w14:textId="77777777" w:rsidR="00024F36" w:rsidRPr="00024F36" w:rsidRDefault="00024F36" w:rsidP="00024F36"/>
        </w:tc>
        <w:tc>
          <w:tcPr>
            <w:tcW w:w="3870" w:type="dxa"/>
          </w:tcPr>
          <w:p w14:paraId="6BC83E96" w14:textId="77777777" w:rsidR="00024F36" w:rsidRPr="00024F36" w:rsidRDefault="00024F36" w:rsidP="00024F36"/>
          <w:p w14:paraId="7C15DFA6" w14:textId="77777777" w:rsidR="00024F36" w:rsidRPr="00024F36" w:rsidRDefault="00024F36" w:rsidP="00024F36"/>
          <w:p w14:paraId="6E31D75E" w14:textId="77777777" w:rsidR="00024F36" w:rsidRPr="00024F36" w:rsidRDefault="00024F36" w:rsidP="00024F36"/>
          <w:p w14:paraId="092018EE" w14:textId="77777777" w:rsidR="00024F36" w:rsidRPr="00024F36" w:rsidRDefault="00024F36" w:rsidP="00024F36">
            <w:r w:rsidRPr="00024F36">
              <w:t>Yes – see NILC eligibility chart</w:t>
            </w:r>
          </w:p>
          <w:p w14:paraId="2F69059B" w14:textId="77777777" w:rsidR="00024F36" w:rsidRPr="00024F36" w:rsidRDefault="00024F36" w:rsidP="00024F36">
            <w:r w:rsidRPr="00024F36">
              <w:t>Yes – see MLRI Cash/FS Chart</w:t>
            </w:r>
          </w:p>
        </w:tc>
        <w:tc>
          <w:tcPr>
            <w:tcW w:w="3870" w:type="dxa"/>
          </w:tcPr>
          <w:p w14:paraId="6B08C60D" w14:textId="77777777" w:rsidR="00024F36" w:rsidRPr="00024F36" w:rsidRDefault="00024F36" w:rsidP="00024F36"/>
          <w:p w14:paraId="4AA2CA25" w14:textId="77777777" w:rsidR="00024F36" w:rsidRPr="00024F36" w:rsidRDefault="00024F36" w:rsidP="00024F36"/>
          <w:p w14:paraId="6231DD28" w14:textId="77777777" w:rsidR="00024F36" w:rsidRPr="00024F36" w:rsidRDefault="00024F36" w:rsidP="00024F36"/>
          <w:p w14:paraId="2DFE4111" w14:textId="77777777" w:rsidR="00024F36" w:rsidRPr="00024F36" w:rsidRDefault="00024F36" w:rsidP="00024F36">
            <w:r w:rsidRPr="00024F36">
              <w:t xml:space="preserve">Yes- both USCIS &amp; DOS apply public charge inadmissibility to these types of benefits </w:t>
            </w:r>
          </w:p>
        </w:tc>
      </w:tr>
      <w:tr w:rsidR="00024F36" w:rsidRPr="00024F36" w14:paraId="0BD23B2D" w14:textId="77777777" w:rsidTr="00DC036C">
        <w:tc>
          <w:tcPr>
            <w:tcW w:w="2988" w:type="dxa"/>
          </w:tcPr>
          <w:p w14:paraId="0839DB38" w14:textId="77777777" w:rsidR="00024F36" w:rsidRPr="00024F36" w:rsidRDefault="00024F36" w:rsidP="00024F36">
            <w:pPr>
              <w:rPr>
                <w:u w:val="single"/>
              </w:rPr>
            </w:pPr>
          </w:p>
          <w:p w14:paraId="2E9BA03A" w14:textId="77777777" w:rsidR="00024F36" w:rsidRPr="00024F36" w:rsidRDefault="00024F36" w:rsidP="00024F36">
            <w:r w:rsidRPr="00024F36">
              <w:rPr>
                <w:u w:val="single"/>
              </w:rPr>
              <w:t>Non-Cash Benefits in Proposed USCIS Rule</w:t>
            </w:r>
            <w:r w:rsidRPr="00024F36">
              <w:t>:</w:t>
            </w:r>
          </w:p>
          <w:p w14:paraId="235EA358" w14:textId="77777777" w:rsidR="00024F36" w:rsidRPr="00024F36" w:rsidRDefault="00024F36" w:rsidP="00024F36">
            <w:r w:rsidRPr="00024F36">
              <w:t xml:space="preserve">    </w:t>
            </w:r>
          </w:p>
          <w:p w14:paraId="00AD2B62" w14:textId="77777777" w:rsidR="00024F36" w:rsidRPr="00024F36" w:rsidRDefault="00024F36" w:rsidP="00024F36">
            <w:r w:rsidRPr="00024F36">
              <w:t>-Medicaid (non-emergency)</w:t>
            </w:r>
          </w:p>
          <w:p w14:paraId="0E65FBDD" w14:textId="77777777" w:rsidR="00024F36" w:rsidRPr="00024F36" w:rsidRDefault="00024F36" w:rsidP="00024F36"/>
          <w:p w14:paraId="797BF5AB" w14:textId="77777777" w:rsidR="00024F36" w:rsidRPr="00024F36" w:rsidRDefault="00024F36" w:rsidP="00024F36"/>
          <w:p w14:paraId="238CA928" w14:textId="77777777" w:rsidR="00024F36" w:rsidRPr="00024F36" w:rsidRDefault="00024F36" w:rsidP="00024F36">
            <w:r w:rsidRPr="00024F36">
              <w:t>-Medicare Part D (low-income subsidy)</w:t>
            </w:r>
          </w:p>
          <w:p w14:paraId="66422158" w14:textId="77777777" w:rsidR="00024F36" w:rsidRPr="00024F36" w:rsidRDefault="00024F36" w:rsidP="00024F36">
            <w:r w:rsidRPr="00024F36">
              <w:t>-SNAP (Food Stamps)</w:t>
            </w:r>
          </w:p>
          <w:p w14:paraId="1206278E" w14:textId="77777777" w:rsidR="00024F36" w:rsidRPr="00024F36" w:rsidRDefault="00024F36" w:rsidP="00024F36">
            <w:r w:rsidRPr="00024F36">
              <w:t xml:space="preserve">-Federal Housing </w:t>
            </w:r>
          </w:p>
          <w:p w14:paraId="11282C5C" w14:textId="77777777" w:rsidR="00024F36" w:rsidRPr="00024F36" w:rsidRDefault="00024F36" w:rsidP="00024F36">
            <w:r w:rsidRPr="00024F36">
              <w:t xml:space="preserve"> </w:t>
            </w:r>
          </w:p>
        </w:tc>
        <w:tc>
          <w:tcPr>
            <w:tcW w:w="3870" w:type="dxa"/>
          </w:tcPr>
          <w:p w14:paraId="4D3A7A9F" w14:textId="77777777" w:rsidR="00024F36" w:rsidRPr="00024F36" w:rsidRDefault="00024F36" w:rsidP="00024F36"/>
          <w:p w14:paraId="577EFE40" w14:textId="77777777" w:rsidR="00024F36" w:rsidRPr="00024F36" w:rsidRDefault="00024F36" w:rsidP="00024F36"/>
          <w:p w14:paraId="3DECCAF2" w14:textId="77777777" w:rsidR="00024F36" w:rsidRPr="00024F36" w:rsidRDefault="00024F36" w:rsidP="00024F36"/>
          <w:p w14:paraId="40327CC2" w14:textId="77777777" w:rsidR="00024F36" w:rsidRPr="00024F36" w:rsidRDefault="00024F36" w:rsidP="00024F36"/>
          <w:p w14:paraId="6BE8E5F5" w14:textId="77777777" w:rsidR="00024F36" w:rsidRPr="00024F36" w:rsidRDefault="00024F36" w:rsidP="00024F36">
            <w:r w:rsidRPr="00024F36">
              <w:t>Yes – see MLRI ACA summary</w:t>
            </w:r>
          </w:p>
          <w:p w14:paraId="60CACCC8" w14:textId="77777777" w:rsidR="00024F36" w:rsidRPr="00024F36" w:rsidRDefault="00024F36" w:rsidP="00024F36">
            <w:r w:rsidRPr="00024F36">
              <w:t>&amp; chart listing which MassHealth programs are Medicaid</w:t>
            </w:r>
          </w:p>
          <w:p w14:paraId="5F1EFA55" w14:textId="77777777" w:rsidR="00024F36" w:rsidRPr="00024F36" w:rsidRDefault="00024F36" w:rsidP="00024F36">
            <w:r w:rsidRPr="00024F36">
              <w:t>Yes – see NILC eligibility chart</w:t>
            </w:r>
          </w:p>
          <w:p w14:paraId="42767B60" w14:textId="77777777" w:rsidR="00024F36" w:rsidRPr="00024F36" w:rsidRDefault="00024F36" w:rsidP="00024F36"/>
          <w:p w14:paraId="5667EC50" w14:textId="77777777" w:rsidR="00024F36" w:rsidRPr="00024F36" w:rsidRDefault="00024F36" w:rsidP="00024F36">
            <w:r w:rsidRPr="00024F36">
              <w:t>Yes – see MLRI Cash/FS chart</w:t>
            </w:r>
          </w:p>
          <w:p w14:paraId="6BE19C1E" w14:textId="77777777" w:rsidR="00024F36" w:rsidRPr="00024F36" w:rsidRDefault="00024F36" w:rsidP="00024F36">
            <w:r w:rsidRPr="00024F36">
              <w:t>Yes – see MLRI housing handout</w:t>
            </w:r>
          </w:p>
          <w:p w14:paraId="492F09AF" w14:textId="77777777" w:rsidR="00024F36" w:rsidRPr="00024F36" w:rsidRDefault="00024F36" w:rsidP="00024F36">
            <w:r w:rsidRPr="00024F36">
              <w:t xml:space="preserve"> </w:t>
            </w:r>
          </w:p>
        </w:tc>
        <w:tc>
          <w:tcPr>
            <w:tcW w:w="3870" w:type="dxa"/>
          </w:tcPr>
          <w:p w14:paraId="2C934FDF" w14:textId="77777777" w:rsidR="00024F36" w:rsidRPr="00024F36" w:rsidRDefault="00024F36" w:rsidP="00024F36"/>
          <w:p w14:paraId="2A6BFAED" w14:textId="77777777" w:rsidR="00024F36" w:rsidRPr="00024F36" w:rsidRDefault="00024F36" w:rsidP="00024F36">
            <w:r w:rsidRPr="00024F36">
              <w:t xml:space="preserve">USCIS does </w:t>
            </w:r>
            <w:r w:rsidRPr="00024F36">
              <w:rPr>
                <w:u w:val="single"/>
              </w:rPr>
              <w:t>not</w:t>
            </w:r>
            <w:r w:rsidRPr="00024F36">
              <w:t xml:space="preserve"> apply public charge inadmissibility to these types of benefits but would </w:t>
            </w:r>
            <w:r w:rsidRPr="00024F36">
              <w:rPr>
                <w:u w:val="single"/>
              </w:rPr>
              <w:t>if</w:t>
            </w:r>
            <w:r w:rsidRPr="00024F36">
              <w:t xml:space="preserve"> the Proposed Rule were finalized, to these types of benefits if received after the effective date</w:t>
            </w:r>
          </w:p>
          <w:p w14:paraId="0B861291" w14:textId="77777777" w:rsidR="00024F36" w:rsidRPr="00024F36" w:rsidRDefault="00024F36" w:rsidP="00024F36">
            <w:r w:rsidRPr="00024F36">
              <w:t>DOS now considers past receipt of these types of benefits in the totality of circumstances to determine likelihood of receipt of cash benefits in the future</w:t>
            </w:r>
          </w:p>
          <w:p w14:paraId="31830E8E" w14:textId="77777777" w:rsidR="00024F36" w:rsidRPr="00024F36" w:rsidRDefault="00024F36" w:rsidP="00024F36">
            <w:r w:rsidRPr="00024F36">
              <w:t xml:space="preserve">  </w:t>
            </w:r>
          </w:p>
        </w:tc>
      </w:tr>
      <w:tr w:rsidR="00024F36" w:rsidRPr="00024F36" w14:paraId="3978A51F" w14:textId="77777777" w:rsidTr="00DC036C">
        <w:tc>
          <w:tcPr>
            <w:tcW w:w="2988" w:type="dxa"/>
          </w:tcPr>
          <w:p w14:paraId="1B34DBCE" w14:textId="77777777" w:rsidR="00024F36" w:rsidRPr="00024F36" w:rsidRDefault="00024F36" w:rsidP="00024F36">
            <w:pPr>
              <w:rPr>
                <w:u w:val="single"/>
              </w:rPr>
            </w:pPr>
          </w:p>
          <w:p w14:paraId="55E138FD" w14:textId="77777777" w:rsidR="00024F36" w:rsidRPr="00024F36" w:rsidRDefault="00024F36" w:rsidP="00024F36">
            <w:pPr>
              <w:rPr>
                <w:u w:val="single"/>
              </w:rPr>
            </w:pPr>
            <w:r w:rsidRPr="00024F36">
              <w:rPr>
                <w:u w:val="single"/>
              </w:rPr>
              <w:t xml:space="preserve">Non-cash Benefits </w:t>
            </w:r>
            <w:r w:rsidRPr="00024F36">
              <w:rPr>
                <w:i/>
                <w:u w:val="single"/>
              </w:rPr>
              <w:t xml:space="preserve">not </w:t>
            </w:r>
            <w:r w:rsidRPr="00024F36">
              <w:rPr>
                <w:u w:val="single"/>
              </w:rPr>
              <w:t>in Proposed USCIS Rule</w:t>
            </w:r>
          </w:p>
          <w:p w14:paraId="3C5422DE" w14:textId="77777777" w:rsidR="00024F36" w:rsidRPr="00024F36" w:rsidRDefault="00024F36" w:rsidP="00024F36">
            <w:pPr>
              <w:rPr>
                <w:u w:val="single"/>
              </w:rPr>
            </w:pPr>
          </w:p>
          <w:p w14:paraId="02CA7A24" w14:textId="77777777" w:rsidR="00024F36" w:rsidRPr="00024F36" w:rsidRDefault="00024F36" w:rsidP="00024F36"/>
        </w:tc>
        <w:tc>
          <w:tcPr>
            <w:tcW w:w="3870" w:type="dxa"/>
          </w:tcPr>
          <w:p w14:paraId="2CBC623D" w14:textId="77777777" w:rsidR="00024F36" w:rsidRPr="00024F36" w:rsidRDefault="00024F36" w:rsidP="00024F36"/>
          <w:p w14:paraId="5211899D" w14:textId="77777777" w:rsidR="00024F36" w:rsidRPr="00024F36" w:rsidRDefault="00024F36" w:rsidP="00024F36">
            <w:r w:rsidRPr="00024F36">
              <w:t xml:space="preserve">Some are restricted &amp; others are not  </w:t>
            </w:r>
          </w:p>
        </w:tc>
        <w:tc>
          <w:tcPr>
            <w:tcW w:w="3870" w:type="dxa"/>
          </w:tcPr>
          <w:p w14:paraId="05D93982" w14:textId="77777777" w:rsidR="00024F36" w:rsidRPr="00024F36" w:rsidRDefault="00024F36" w:rsidP="00024F36"/>
          <w:p w14:paraId="797FF229" w14:textId="77777777" w:rsidR="00024F36" w:rsidRPr="00024F36" w:rsidRDefault="00024F36" w:rsidP="00024F36">
            <w:r w:rsidRPr="00024F36">
              <w:t xml:space="preserve">USCIS does </w:t>
            </w:r>
            <w:r w:rsidRPr="00024F36">
              <w:rPr>
                <w:u w:val="single"/>
              </w:rPr>
              <w:t>not</w:t>
            </w:r>
            <w:r w:rsidRPr="00024F36">
              <w:t xml:space="preserve"> apply public charge inadmissibility to these types of benefits and would not do to these types of benefits if received after the effective date</w:t>
            </w:r>
          </w:p>
          <w:p w14:paraId="3C7A091A" w14:textId="77777777" w:rsidR="00024F36" w:rsidRPr="00024F36" w:rsidRDefault="00024F36" w:rsidP="00024F36">
            <w:r w:rsidRPr="00024F36">
              <w:t xml:space="preserve">DOS now considers past receipt of </w:t>
            </w:r>
            <w:r w:rsidRPr="00024F36">
              <w:rPr>
                <w:i/>
              </w:rPr>
              <w:t xml:space="preserve">some </w:t>
            </w:r>
            <w:r w:rsidRPr="00024F36">
              <w:t>of these types of benefits in the totality of circumstances to determine likelihood of receipt of cash benefits in the future</w:t>
            </w:r>
          </w:p>
          <w:p w14:paraId="30BC0E2D" w14:textId="77777777" w:rsidR="00024F36" w:rsidRPr="00024F36" w:rsidRDefault="00024F36" w:rsidP="00024F36"/>
        </w:tc>
      </w:tr>
      <w:tr w:rsidR="00024F36" w:rsidRPr="00024F36" w14:paraId="76D12FDA" w14:textId="77777777" w:rsidTr="00DC036C">
        <w:tc>
          <w:tcPr>
            <w:tcW w:w="2988" w:type="dxa"/>
          </w:tcPr>
          <w:p w14:paraId="646368C2" w14:textId="77777777" w:rsidR="00024F36" w:rsidRPr="00024F36" w:rsidRDefault="00024F36" w:rsidP="00024F36">
            <w:r w:rsidRPr="00024F36">
              <w:rPr>
                <w:u w:val="single"/>
              </w:rPr>
              <w:t xml:space="preserve">Other Benefits not in rule </w:t>
            </w:r>
          </w:p>
          <w:p w14:paraId="54B6B3CA" w14:textId="77777777" w:rsidR="00024F36" w:rsidRPr="00024F36" w:rsidRDefault="00024F36" w:rsidP="00024F36"/>
          <w:p w14:paraId="001C3A02" w14:textId="77777777" w:rsidR="00024F36" w:rsidRPr="00024F36" w:rsidRDefault="00024F36" w:rsidP="00024F36">
            <w:r w:rsidRPr="00024F36">
              <w:t>-earned benefits:</w:t>
            </w:r>
          </w:p>
          <w:p w14:paraId="55EA083C" w14:textId="77777777" w:rsidR="00024F36" w:rsidRPr="00024F36" w:rsidRDefault="00024F36" w:rsidP="00024F36">
            <w:r w:rsidRPr="00024F36">
              <w:t xml:space="preserve">     OASDI (Social Security)</w:t>
            </w:r>
          </w:p>
          <w:p w14:paraId="0E4AD7C5" w14:textId="77777777" w:rsidR="00024F36" w:rsidRPr="00024F36" w:rsidRDefault="00024F36" w:rsidP="00024F36">
            <w:r w:rsidRPr="00024F36">
              <w:t xml:space="preserve">     Unemployment</w:t>
            </w:r>
          </w:p>
          <w:p w14:paraId="684446A1" w14:textId="77777777" w:rsidR="00024F36" w:rsidRPr="00024F36" w:rsidRDefault="00024F36" w:rsidP="00024F36">
            <w:r w:rsidRPr="00024F36">
              <w:t xml:space="preserve">     Veterans benefits</w:t>
            </w:r>
          </w:p>
          <w:p w14:paraId="757F9E14" w14:textId="009B9493" w:rsidR="001E1092" w:rsidRPr="00024F36" w:rsidRDefault="00024F36" w:rsidP="001E1092">
            <w:r w:rsidRPr="00024F36">
              <w:t xml:space="preserve">     Government pensions</w:t>
            </w:r>
            <w:bookmarkStart w:id="0" w:name="_GoBack"/>
            <w:bookmarkEnd w:id="0"/>
          </w:p>
        </w:tc>
        <w:tc>
          <w:tcPr>
            <w:tcW w:w="3870" w:type="dxa"/>
          </w:tcPr>
          <w:p w14:paraId="3BE06385" w14:textId="77777777" w:rsidR="00024F36" w:rsidRPr="00024F36" w:rsidRDefault="00024F36" w:rsidP="00024F36">
            <w:r w:rsidRPr="00024F36">
              <w:t xml:space="preserve">  </w:t>
            </w:r>
          </w:p>
          <w:p w14:paraId="2A56C1B4" w14:textId="77777777" w:rsidR="00024F36" w:rsidRPr="00024F36" w:rsidRDefault="00024F36" w:rsidP="00024F36"/>
          <w:p w14:paraId="5D51EECE" w14:textId="77777777" w:rsidR="00024F36" w:rsidRPr="00024F36" w:rsidRDefault="00024F36" w:rsidP="00024F36">
            <w:r w:rsidRPr="00024F36">
              <w:t>Restrictions vary</w:t>
            </w:r>
          </w:p>
        </w:tc>
        <w:tc>
          <w:tcPr>
            <w:tcW w:w="3870" w:type="dxa"/>
          </w:tcPr>
          <w:p w14:paraId="2B433B90" w14:textId="77777777" w:rsidR="00024F36" w:rsidRPr="00024F36" w:rsidRDefault="00024F36" w:rsidP="00024F36"/>
          <w:p w14:paraId="4D50DE46" w14:textId="77777777" w:rsidR="00024F36" w:rsidRPr="00024F36" w:rsidRDefault="00024F36" w:rsidP="00024F36"/>
          <w:p w14:paraId="326C10E7" w14:textId="77777777" w:rsidR="00024F36" w:rsidRPr="00024F36" w:rsidRDefault="00024F36" w:rsidP="00024F36">
            <w:r w:rsidRPr="00024F36">
              <w:t>No. Neither USCIS nor DOS apply public charge criteria to these benefit programs</w:t>
            </w:r>
          </w:p>
        </w:tc>
      </w:tr>
    </w:tbl>
    <w:p w14:paraId="3A79E79B" w14:textId="77777777" w:rsidR="002022AF" w:rsidRPr="0042373A" w:rsidRDefault="002022AF" w:rsidP="002022AF"/>
    <w:sectPr w:rsidR="002022AF" w:rsidRPr="0042373A" w:rsidSect="00657308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F16E1" w14:textId="77777777" w:rsidR="00414612" w:rsidRDefault="00414612" w:rsidP="00CC3D1E">
      <w:pPr>
        <w:spacing w:before="0" w:after="0"/>
      </w:pPr>
      <w:r>
        <w:separator/>
      </w:r>
    </w:p>
  </w:endnote>
  <w:endnote w:type="continuationSeparator" w:id="0">
    <w:p w14:paraId="436BD98D" w14:textId="77777777" w:rsidR="00414612" w:rsidRDefault="00414612" w:rsidP="00CC3D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684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B7999" w14:textId="77777777" w:rsidR="00B13C96" w:rsidRDefault="00B13C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0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949A8D" w14:textId="77777777" w:rsidR="00B13C96" w:rsidRDefault="00B13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B66B" w14:textId="77777777" w:rsidR="00414612" w:rsidRDefault="00414612" w:rsidP="00CC3D1E">
      <w:pPr>
        <w:spacing w:before="0" w:after="0"/>
      </w:pPr>
      <w:r>
        <w:separator/>
      </w:r>
    </w:p>
  </w:footnote>
  <w:footnote w:type="continuationSeparator" w:id="0">
    <w:p w14:paraId="174168A9" w14:textId="77777777" w:rsidR="00414612" w:rsidRDefault="00414612" w:rsidP="00CC3D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F51"/>
    <w:multiLevelType w:val="hybridMultilevel"/>
    <w:tmpl w:val="024EC250"/>
    <w:lvl w:ilvl="0" w:tplc="5D24C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94705"/>
    <w:multiLevelType w:val="hybridMultilevel"/>
    <w:tmpl w:val="AA2AB5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2744A8"/>
    <w:multiLevelType w:val="hybridMultilevel"/>
    <w:tmpl w:val="66288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82A2893"/>
    <w:multiLevelType w:val="hybridMultilevel"/>
    <w:tmpl w:val="6B12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34C2"/>
    <w:multiLevelType w:val="hybridMultilevel"/>
    <w:tmpl w:val="9EB405F2"/>
    <w:lvl w:ilvl="0" w:tplc="2592AEFC">
      <w:start w:val="3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6E0707"/>
    <w:multiLevelType w:val="hybridMultilevel"/>
    <w:tmpl w:val="02E68AAC"/>
    <w:lvl w:ilvl="0" w:tplc="4586A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D64FE"/>
    <w:multiLevelType w:val="hybridMultilevel"/>
    <w:tmpl w:val="698A4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A0C35"/>
    <w:multiLevelType w:val="hybridMultilevel"/>
    <w:tmpl w:val="808AB7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8746E"/>
    <w:multiLevelType w:val="hybridMultilevel"/>
    <w:tmpl w:val="DC2AF2F2"/>
    <w:lvl w:ilvl="0" w:tplc="6BDAED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95005A"/>
    <w:multiLevelType w:val="hybridMultilevel"/>
    <w:tmpl w:val="FA6EE108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32A51701"/>
    <w:multiLevelType w:val="hybridMultilevel"/>
    <w:tmpl w:val="31A01D24"/>
    <w:lvl w:ilvl="0" w:tplc="D9C4D7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13071C"/>
    <w:multiLevelType w:val="hybridMultilevel"/>
    <w:tmpl w:val="DD464996"/>
    <w:lvl w:ilvl="0" w:tplc="3B2693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43D6F"/>
    <w:multiLevelType w:val="hybridMultilevel"/>
    <w:tmpl w:val="A7504846"/>
    <w:lvl w:ilvl="0" w:tplc="7A326B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28213E"/>
    <w:multiLevelType w:val="hybridMultilevel"/>
    <w:tmpl w:val="1EA05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717E93"/>
    <w:multiLevelType w:val="hybridMultilevel"/>
    <w:tmpl w:val="5CF466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D20185"/>
    <w:multiLevelType w:val="hybridMultilevel"/>
    <w:tmpl w:val="EA6CF220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2612C98"/>
    <w:multiLevelType w:val="hybridMultilevel"/>
    <w:tmpl w:val="810C3F9C"/>
    <w:lvl w:ilvl="0" w:tplc="D5EEB1F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50EED"/>
    <w:multiLevelType w:val="hybridMultilevel"/>
    <w:tmpl w:val="4A980FD4"/>
    <w:lvl w:ilvl="0" w:tplc="129E9A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70E0B05"/>
    <w:multiLevelType w:val="hybridMultilevel"/>
    <w:tmpl w:val="4A8C702C"/>
    <w:lvl w:ilvl="0" w:tplc="18B66FD8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72852B4"/>
    <w:multiLevelType w:val="hybridMultilevel"/>
    <w:tmpl w:val="AC9A3282"/>
    <w:lvl w:ilvl="0" w:tplc="7BEED122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8C84347"/>
    <w:multiLevelType w:val="hybridMultilevel"/>
    <w:tmpl w:val="45EC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04774"/>
    <w:multiLevelType w:val="hybridMultilevel"/>
    <w:tmpl w:val="B44A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1821"/>
    <w:multiLevelType w:val="hybridMultilevel"/>
    <w:tmpl w:val="AD6C8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8035B"/>
    <w:multiLevelType w:val="hybridMultilevel"/>
    <w:tmpl w:val="BFF83A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D67739"/>
    <w:multiLevelType w:val="hybridMultilevel"/>
    <w:tmpl w:val="68AE616E"/>
    <w:lvl w:ilvl="0" w:tplc="7D82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91F50"/>
    <w:multiLevelType w:val="hybridMultilevel"/>
    <w:tmpl w:val="D8585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BE018A"/>
    <w:multiLevelType w:val="hybridMultilevel"/>
    <w:tmpl w:val="31A01D24"/>
    <w:lvl w:ilvl="0" w:tplc="D9C4D7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5572FD"/>
    <w:multiLevelType w:val="hybridMultilevel"/>
    <w:tmpl w:val="93047F24"/>
    <w:lvl w:ilvl="0" w:tplc="8BB8A5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15"/>
  </w:num>
  <w:num w:numId="5">
    <w:abstractNumId w:val="18"/>
  </w:num>
  <w:num w:numId="6">
    <w:abstractNumId w:val="16"/>
  </w:num>
  <w:num w:numId="7">
    <w:abstractNumId w:val="22"/>
  </w:num>
  <w:num w:numId="8">
    <w:abstractNumId w:val="0"/>
  </w:num>
  <w:num w:numId="9">
    <w:abstractNumId w:val="10"/>
  </w:num>
  <w:num w:numId="10">
    <w:abstractNumId w:val="26"/>
  </w:num>
  <w:num w:numId="11">
    <w:abstractNumId w:val="17"/>
  </w:num>
  <w:num w:numId="12">
    <w:abstractNumId w:val="19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  <w:num w:numId="17">
    <w:abstractNumId w:val="23"/>
  </w:num>
  <w:num w:numId="18">
    <w:abstractNumId w:val="14"/>
  </w:num>
  <w:num w:numId="19">
    <w:abstractNumId w:val="3"/>
  </w:num>
  <w:num w:numId="20">
    <w:abstractNumId w:val="12"/>
  </w:num>
  <w:num w:numId="21">
    <w:abstractNumId w:val="25"/>
  </w:num>
  <w:num w:numId="22">
    <w:abstractNumId w:val="13"/>
  </w:num>
  <w:num w:numId="23">
    <w:abstractNumId w:val="6"/>
  </w:num>
  <w:num w:numId="24">
    <w:abstractNumId w:val="7"/>
  </w:num>
  <w:num w:numId="25">
    <w:abstractNumId w:val="5"/>
  </w:num>
  <w:num w:numId="26">
    <w:abstractNumId w:val="11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71"/>
    <w:rsid w:val="000014EC"/>
    <w:rsid w:val="00013BF1"/>
    <w:rsid w:val="000248EB"/>
    <w:rsid w:val="00024F36"/>
    <w:rsid w:val="00034106"/>
    <w:rsid w:val="00035296"/>
    <w:rsid w:val="00035540"/>
    <w:rsid w:val="0004138C"/>
    <w:rsid w:val="00047031"/>
    <w:rsid w:val="00057090"/>
    <w:rsid w:val="00057134"/>
    <w:rsid w:val="00061D9B"/>
    <w:rsid w:val="0006214C"/>
    <w:rsid w:val="00063DFF"/>
    <w:rsid w:val="000757E8"/>
    <w:rsid w:val="00084AD4"/>
    <w:rsid w:val="00087A1A"/>
    <w:rsid w:val="00091132"/>
    <w:rsid w:val="000A4F26"/>
    <w:rsid w:val="000E7386"/>
    <w:rsid w:val="000F6323"/>
    <w:rsid w:val="00101DCB"/>
    <w:rsid w:val="0012023C"/>
    <w:rsid w:val="00125CA0"/>
    <w:rsid w:val="00130C2F"/>
    <w:rsid w:val="00132D3B"/>
    <w:rsid w:val="00140640"/>
    <w:rsid w:val="00141DB7"/>
    <w:rsid w:val="00156214"/>
    <w:rsid w:val="00157155"/>
    <w:rsid w:val="001663F0"/>
    <w:rsid w:val="001917B6"/>
    <w:rsid w:val="00192816"/>
    <w:rsid w:val="001A4876"/>
    <w:rsid w:val="001C161B"/>
    <w:rsid w:val="001C541E"/>
    <w:rsid w:val="001C5E6D"/>
    <w:rsid w:val="001D061D"/>
    <w:rsid w:val="001D5C9D"/>
    <w:rsid w:val="001E1092"/>
    <w:rsid w:val="001F3139"/>
    <w:rsid w:val="002022AF"/>
    <w:rsid w:val="00210321"/>
    <w:rsid w:val="00214EA2"/>
    <w:rsid w:val="0021666E"/>
    <w:rsid w:val="00217316"/>
    <w:rsid w:val="00224346"/>
    <w:rsid w:val="00225844"/>
    <w:rsid w:val="00230391"/>
    <w:rsid w:val="00236A6C"/>
    <w:rsid w:val="002375D9"/>
    <w:rsid w:val="00246948"/>
    <w:rsid w:val="00260CFE"/>
    <w:rsid w:val="002763B0"/>
    <w:rsid w:val="002855C9"/>
    <w:rsid w:val="00287C91"/>
    <w:rsid w:val="002C00FC"/>
    <w:rsid w:val="002C0FAD"/>
    <w:rsid w:val="002D57EE"/>
    <w:rsid w:val="0031001C"/>
    <w:rsid w:val="003442A3"/>
    <w:rsid w:val="003466C1"/>
    <w:rsid w:val="003671AF"/>
    <w:rsid w:val="00372F72"/>
    <w:rsid w:val="003A7FD3"/>
    <w:rsid w:val="003C0F09"/>
    <w:rsid w:val="003C2C32"/>
    <w:rsid w:val="003D2202"/>
    <w:rsid w:val="003D2B1A"/>
    <w:rsid w:val="003E7BAB"/>
    <w:rsid w:val="00400F4D"/>
    <w:rsid w:val="00414612"/>
    <w:rsid w:val="0042373A"/>
    <w:rsid w:val="00424411"/>
    <w:rsid w:val="00434427"/>
    <w:rsid w:val="00446392"/>
    <w:rsid w:val="00473132"/>
    <w:rsid w:val="00476CB6"/>
    <w:rsid w:val="004835B8"/>
    <w:rsid w:val="0049122F"/>
    <w:rsid w:val="004A1E57"/>
    <w:rsid w:val="004A26BB"/>
    <w:rsid w:val="004B40A8"/>
    <w:rsid w:val="004B74C9"/>
    <w:rsid w:val="004B7801"/>
    <w:rsid w:val="004B7A71"/>
    <w:rsid w:val="004C0069"/>
    <w:rsid w:val="004C330A"/>
    <w:rsid w:val="004C3A2D"/>
    <w:rsid w:val="004C7628"/>
    <w:rsid w:val="004D07D9"/>
    <w:rsid w:val="004D21FC"/>
    <w:rsid w:val="004D2372"/>
    <w:rsid w:val="004D6B95"/>
    <w:rsid w:val="004E452A"/>
    <w:rsid w:val="004F1257"/>
    <w:rsid w:val="004F551F"/>
    <w:rsid w:val="004F5B5A"/>
    <w:rsid w:val="0050065C"/>
    <w:rsid w:val="0050346A"/>
    <w:rsid w:val="00505C22"/>
    <w:rsid w:val="005170F1"/>
    <w:rsid w:val="0053162A"/>
    <w:rsid w:val="00547FEB"/>
    <w:rsid w:val="00555812"/>
    <w:rsid w:val="00565D9D"/>
    <w:rsid w:val="0058023B"/>
    <w:rsid w:val="00585A88"/>
    <w:rsid w:val="0059539E"/>
    <w:rsid w:val="005A4D31"/>
    <w:rsid w:val="005A66B6"/>
    <w:rsid w:val="005B3C31"/>
    <w:rsid w:val="005F43DE"/>
    <w:rsid w:val="005F4EA0"/>
    <w:rsid w:val="00606886"/>
    <w:rsid w:val="00607747"/>
    <w:rsid w:val="00620D14"/>
    <w:rsid w:val="00622CC2"/>
    <w:rsid w:val="00636E0B"/>
    <w:rsid w:val="00641ACB"/>
    <w:rsid w:val="0064450A"/>
    <w:rsid w:val="006477CF"/>
    <w:rsid w:val="006560AE"/>
    <w:rsid w:val="00657308"/>
    <w:rsid w:val="00670879"/>
    <w:rsid w:val="00673429"/>
    <w:rsid w:val="0067701D"/>
    <w:rsid w:val="00697114"/>
    <w:rsid w:val="006A394D"/>
    <w:rsid w:val="006A6AC7"/>
    <w:rsid w:val="006B498A"/>
    <w:rsid w:val="006C26CE"/>
    <w:rsid w:val="006C638B"/>
    <w:rsid w:val="006E0D41"/>
    <w:rsid w:val="006F7027"/>
    <w:rsid w:val="00723AFD"/>
    <w:rsid w:val="0074227D"/>
    <w:rsid w:val="00746036"/>
    <w:rsid w:val="00754CC8"/>
    <w:rsid w:val="007633DF"/>
    <w:rsid w:val="0079343A"/>
    <w:rsid w:val="007B6FBC"/>
    <w:rsid w:val="007C3029"/>
    <w:rsid w:val="007E0EE8"/>
    <w:rsid w:val="007E40F7"/>
    <w:rsid w:val="007F49E0"/>
    <w:rsid w:val="0080680E"/>
    <w:rsid w:val="00825902"/>
    <w:rsid w:val="0085625D"/>
    <w:rsid w:val="008640FD"/>
    <w:rsid w:val="00866E39"/>
    <w:rsid w:val="00867E45"/>
    <w:rsid w:val="00874D35"/>
    <w:rsid w:val="0087517E"/>
    <w:rsid w:val="0088030F"/>
    <w:rsid w:val="008A18A3"/>
    <w:rsid w:val="008A2236"/>
    <w:rsid w:val="008A29C7"/>
    <w:rsid w:val="008B1C52"/>
    <w:rsid w:val="008C5277"/>
    <w:rsid w:val="008E1B62"/>
    <w:rsid w:val="008E4117"/>
    <w:rsid w:val="008F48F5"/>
    <w:rsid w:val="009035BF"/>
    <w:rsid w:val="009172EA"/>
    <w:rsid w:val="00917BA4"/>
    <w:rsid w:val="00934E2B"/>
    <w:rsid w:val="00954F52"/>
    <w:rsid w:val="00956A59"/>
    <w:rsid w:val="0096122E"/>
    <w:rsid w:val="00975060"/>
    <w:rsid w:val="00976F0A"/>
    <w:rsid w:val="00993125"/>
    <w:rsid w:val="009A39BE"/>
    <w:rsid w:val="009A3C79"/>
    <w:rsid w:val="009C5070"/>
    <w:rsid w:val="009D73BF"/>
    <w:rsid w:val="009F24F9"/>
    <w:rsid w:val="00A06D90"/>
    <w:rsid w:val="00A07244"/>
    <w:rsid w:val="00A14E04"/>
    <w:rsid w:val="00A526FD"/>
    <w:rsid w:val="00A601FA"/>
    <w:rsid w:val="00A742FB"/>
    <w:rsid w:val="00A835D7"/>
    <w:rsid w:val="00A92418"/>
    <w:rsid w:val="00A93347"/>
    <w:rsid w:val="00AB3EC2"/>
    <w:rsid w:val="00AC32A9"/>
    <w:rsid w:val="00B12D2D"/>
    <w:rsid w:val="00B13C96"/>
    <w:rsid w:val="00B2119C"/>
    <w:rsid w:val="00B22437"/>
    <w:rsid w:val="00B34A0D"/>
    <w:rsid w:val="00B4322F"/>
    <w:rsid w:val="00B44D27"/>
    <w:rsid w:val="00B621EA"/>
    <w:rsid w:val="00B6393B"/>
    <w:rsid w:val="00B63F90"/>
    <w:rsid w:val="00B7534C"/>
    <w:rsid w:val="00B82314"/>
    <w:rsid w:val="00BB4F41"/>
    <w:rsid w:val="00BC36F4"/>
    <w:rsid w:val="00BE0F4F"/>
    <w:rsid w:val="00BE4C80"/>
    <w:rsid w:val="00BE571C"/>
    <w:rsid w:val="00C03110"/>
    <w:rsid w:val="00C125CB"/>
    <w:rsid w:val="00C15899"/>
    <w:rsid w:val="00C175A8"/>
    <w:rsid w:val="00C219B1"/>
    <w:rsid w:val="00C40258"/>
    <w:rsid w:val="00C43480"/>
    <w:rsid w:val="00C44C18"/>
    <w:rsid w:val="00C522A8"/>
    <w:rsid w:val="00C548CB"/>
    <w:rsid w:val="00C54F80"/>
    <w:rsid w:val="00C6419D"/>
    <w:rsid w:val="00C72260"/>
    <w:rsid w:val="00C81245"/>
    <w:rsid w:val="00C91BBF"/>
    <w:rsid w:val="00C9342C"/>
    <w:rsid w:val="00CA4BCD"/>
    <w:rsid w:val="00CA6C38"/>
    <w:rsid w:val="00CC3D1E"/>
    <w:rsid w:val="00CD5A6B"/>
    <w:rsid w:val="00CE28B8"/>
    <w:rsid w:val="00CE564B"/>
    <w:rsid w:val="00CF409A"/>
    <w:rsid w:val="00D12527"/>
    <w:rsid w:val="00D13061"/>
    <w:rsid w:val="00D13A6C"/>
    <w:rsid w:val="00D237F9"/>
    <w:rsid w:val="00D35953"/>
    <w:rsid w:val="00D45F7B"/>
    <w:rsid w:val="00D50BDA"/>
    <w:rsid w:val="00D60B44"/>
    <w:rsid w:val="00D8288E"/>
    <w:rsid w:val="00D97329"/>
    <w:rsid w:val="00DC7D5E"/>
    <w:rsid w:val="00DD77ED"/>
    <w:rsid w:val="00DE7050"/>
    <w:rsid w:val="00E0182E"/>
    <w:rsid w:val="00E03C6D"/>
    <w:rsid w:val="00E21BB3"/>
    <w:rsid w:val="00E30C57"/>
    <w:rsid w:val="00E45B06"/>
    <w:rsid w:val="00E644D0"/>
    <w:rsid w:val="00E6522F"/>
    <w:rsid w:val="00E67622"/>
    <w:rsid w:val="00E704A2"/>
    <w:rsid w:val="00E81178"/>
    <w:rsid w:val="00E81AC2"/>
    <w:rsid w:val="00EB0765"/>
    <w:rsid w:val="00EB6C3F"/>
    <w:rsid w:val="00EB6F0B"/>
    <w:rsid w:val="00EC57A0"/>
    <w:rsid w:val="00EC6AC5"/>
    <w:rsid w:val="00ED6E91"/>
    <w:rsid w:val="00EE7826"/>
    <w:rsid w:val="00EF5848"/>
    <w:rsid w:val="00F00B49"/>
    <w:rsid w:val="00F04D45"/>
    <w:rsid w:val="00F05283"/>
    <w:rsid w:val="00F1558F"/>
    <w:rsid w:val="00F55B98"/>
    <w:rsid w:val="00F875ED"/>
    <w:rsid w:val="00F877C6"/>
    <w:rsid w:val="00F92C94"/>
    <w:rsid w:val="00F930E1"/>
    <w:rsid w:val="00F9325A"/>
    <w:rsid w:val="00FB23DB"/>
    <w:rsid w:val="00FB247B"/>
    <w:rsid w:val="00FB3BD5"/>
    <w:rsid w:val="00FC17C8"/>
    <w:rsid w:val="00FD3118"/>
    <w:rsid w:val="00FD7495"/>
    <w:rsid w:val="00FD7B90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D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F9"/>
    <w:pPr>
      <w:spacing w:before="120" w:after="32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F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3D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D1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D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34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C9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3C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C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3C9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87517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C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FC17C8"/>
    <w:pPr>
      <w:spacing w:before="0" w:after="0"/>
      <w:contextualSpacing w:val="0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17C8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0B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F9"/>
    <w:pPr>
      <w:spacing w:before="120" w:after="32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F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3D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D1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D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34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C9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13C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C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3C9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87517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7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C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FC17C8"/>
    <w:pPr>
      <w:spacing w:before="0" w:after="0"/>
      <w:contextualSpacing w:val="0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17C8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0B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2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3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328C-AEC4-4F0B-90ED-76FB4430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MLRI Staff</dc:creator>
  <cp:lastModifiedBy>MLRI Staff</cp:lastModifiedBy>
  <cp:revision>18</cp:revision>
  <cp:lastPrinted>2019-03-27T15:13:00Z</cp:lastPrinted>
  <dcterms:created xsi:type="dcterms:W3CDTF">2019-03-27T13:18:00Z</dcterms:created>
  <dcterms:modified xsi:type="dcterms:W3CDTF">2019-03-27T18:06:00Z</dcterms:modified>
</cp:coreProperties>
</file>