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1"/>
        <w:tblW w:w="10479" w:type="dxa"/>
        <w:tblLook w:val="0000" w:firstRow="0" w:lastRow="0" w:firstColumn="0" w:lastColumn="0" w:noHBand="0" w:noVBand="0"/>
      </w:tblPr>
      <w:tblGrid>
        <w:gridCol w:w="10479"/>
      </w:tblGrid>
      <w:tr w:rsidR="00F649BE" w:rsidTr="00FC202A">
        <w:trPr>
          <w:cnfStyle w:val="000000100000" w:firstRow="0" w:lastRow="0" w:firstColumn="0" w:lastColumn="0" w:oddVBand="0" w:evenVBand="0" w:oddHBand="1" w:evenHBand="0" w:firstRowFirstColumn="0" w:firstRowLastColumn="0" w:lastRowFirstColumn="0" w:lastRowLastColumn="0"/>
          <w:trHeight w:val="475"/>
        </w:trPr>
        <w:tc>
          <w:tcPr>
            <w:cnfStyle w:val="000010000000" w:firstRow="0" w:lastRow="0" w:firstColumn="0" w:lastColumn="0" w:oddVBand="1" w:evenVBand="0" w:oddHBand="0" w:evenHBand="0" w:firstRowFirstColumn="0" w:firstRowLastColumn="0" w:lastRowFirstColumn="0" w:lastRowLastColumn="0"/>
            <w:tcW w:w="10479" w:type="dxa"/>
            <w:vAlign w:val="center"/>
          </w:tcPr>
          <w:p w:rsidR="00F649BE" w:rsidRDefault="00F649BE" w:rsidP="00F649BE">
            <w:pPr>
              <w:rPr>
                <w:sz w:val="20"/>
                <w:szCs w:val="20"/>
              </w:rPr>
            </w:pPr>
            <w:r>
              <w:rPr>
                <w:noProof/>
              </w:rPr>
              <w:drawing>
                <wp:anchor distT="0" distB="0" distL="114300" distR="114300" simplePos="0" relativeHeight="251658240" behindDoc="0" locked="0" layoutInCell="1" allowOverlap="1" wp14:anchorId="76A52E49" wp14:editId="39ED99D6">
                  <wp:simplePos x="3595370" y="926465"/>
                  <wp:positionH relativeFrom="margin">
                    <wp:align>left</wp:align>
                  </wp:positionH>
                  <wp:positionV relativeFrom="margin">
                    <wp:align>top</wp:align>
                  </wp:positionV>
                  <wp:extent cx="899795" cy="864870"/>
                  <wp:effectExtent l="0" t="0" r="0" b="0"/>
                  <wp:wrapSquare wrapText="bothSides"/>
                  <wp:docPr id="1" name="Picture 1" descr="The Great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 Seal of Massachuset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864870"/>
                          </a:xfrm>
                          <a:prstGeom prst="rect">
                            <a:avLst/>
                          </a:prstGeom>
                          <a:noFill/>
                          <a:ln>
                            <a:noFill/>
                          </a:ln>
                        </pic:spPr>
                      </pic:pic>
                    </a:graphicData>
                  </a:graphic>
                </wp:anchor>
              </w:drawing>
            </w:r>
          </w:p>
          <w:p w:rsidR="00F649BE" w:rsidRDefault="00F649BE" w:rsidP="00F649BE">
            <w:pPr>
              <w:rPr>
                <w:rFonts w:ascii="Palatino Linotype" w:hAnsi="Palatino Linotype"/>
                <w:b/>
                <w:sz w:val="28"/>
                <w:szCs w:val="28"/>
              </w:rPr>
            </w:pPr>
            <w:r w:rsidRPr="00452122">
              <w:rPr>
                <w:rFonts w:ascii="Palatino Linotype" w:hAnsi="Palatino Linotype"/>
                <w:b/>
                <w:sz w:val="28"/>
                <w:szCs w:val="28"/>
              </w:rPr>
              <w:t>DEPARTMENT OF UNEMPLOYMENT ASSISTANCE</w:t>
            </w:r>
          </w:p>
          <w:p w:rsidR="00452122" w:rsidRPr="00452122" w:rsidRDefault="00452122" w:rsidP="00F649BE">
            <w:pPr>
              <w:rPr>
                <w:rFonts w:ascii="Palatino Linotype" w:hAnsi="Palatino Linotype"/>
                <w:b/>
                <w:sz w:val="28"/>
                <w:szCs w:val="28"/>
              </w:rPr>
            </w:pPr>
            <w:r>
              <w:rPr>
                <w:rFonts w:ascii="Palatino Linotype" w:hAnsi="Palatino Linotype"/>
                <w:b/>
                <w:sz w:val="28"/>
                <w:szCs w:val="28"/>
              </w:rPr>
              <w:t xml:space="preserve">                UI POLICY &amp; PERFORMANCE</w:t>
            </w:r>
          </w:p>
          <w:p w:rsidR="00F649BE" w:rsidRPr="00452122" w:rsidRDefault="00452122" w:rsidP="00F649BE">
            <w:pPr>
              <w:rPr>
                <w:rFonts w:ascii="Palatino Linotype" w:hAnsi="Palatino Linotype"/>
                <w:b/>
                <w:sz w:val="28"/>
                <w:szCs w:val="28"/>
              </w:rPr>
            </w:pPr>
            <w:r>
              <w:rPr>
                <w:rFonts w:ascii="Palatino Linotype" w:hAnsi="Palatino Linotype"/>
                <w:b/>
                <w:sz w:val="28"/>
                <w:szCs w:val="28"/>
              </w:rPr>
              <w:t xml:space="preserve">             </w:t>
            </w:r>
            <w:r w:rsidR="00F649BE" w:rsidRPr="00452122">
              <w:rPr>
                <w:rFonts w:ascii="Palatino Linotype" w:hAnsi="Palatino Linotype"/>
                <w:b/>
                <w:sz w:val="28"/>
                <w:szCs w:val="28"/>
              </w:rPr>
              <w:t>INTEROFFICE MEMORANDUM</w:t>
            </w:r>
          </w:p>
          <w:p w:rsidR="00F649BE" w:rsidRDefault="00452122" w:rsidP="00F649BE">
            <w:pPr>
              <w:rPr>
                <w:sz w:val="20"/>
                <w:szCs w:val="20"/>
              </w:rPr>
            </w:pPr>
            <w:r>
              <w:rPr>
                <w:sz w:val="20"/>
                <w:szCs w:val="20"/>
              </w:rPr>
              <w:t xml:space="preserve">     </w:t>
            </w:r>
          </w:p>
        </w:tc>
      </w:tr>
      <w:tr w:rsidR="00AA1CE1" w:rsidTr="00FC202A">
        <w:trPr>
          <w:trHeight w:val="475"/>
        </w:trPr>
        <w:tc>
          <w:tcPr>
            <w:cnfStyle w:val="000010000000" w:firstRow="0" w:lastRow="0" w:firstColumn="0" w:lastColumn="0" w:oddVBand="1" w:evenVBand="0" w:oddHBand="0" w:evenHBand="0" w:firstRowFirstColumn="0" w:firstRowLastColumn="0" w:lastRowFirstColumn="0" w:lastRowLastColumn="0"/>
            <w:tcW w:w="10479" w:type="dxa"/>
            <w:vAlign w:val="center"/>
          </w:tcPr>
          <w:p w:rsidR="00AA1CE1" w:rsidRDefault="00AA1CE1" w:rsidP="00E60DA6">
            <w:pPr>
              <w:rPr>
                <w:noProof/>
              </w:rPr>
            </w:pPr>
            <w:r>
              <w:rPr>
                <w:noProof/>
              </w:rPr>
              <w:t xml:space="preserve">Date:                   </w:t>
            </w:r>
            <w:r w:rsidR="00DD39D0">
              <w:rPr>
                <w:noProof/>
              </w:rPr>
              <w:t xml:space="preserve">April </w:t>
            </w:r>
            <w:r w:rsidR="00E60DA6">
              <w:rPr>
                <w:noProof/>
              </w:rPr>
              <w:t>25</w:t>
            </w:r>
            <w:r w:rsidR="00FC42AD">
              <w:rPr>
                <w:noProof/>
              </w:rPr>
              <w:t>, 201</w:t>
            </w:r>
            <w:r w:rsidR="0050701D">
              <w:rPr>
                <w:noProof/>
              </w:rPr>
              <w:t>4</w:t>
            </w:r>
          </w:p>
        </w:tc>
      </w:tr>
      <w:tr w:rsidR="00AA1CE1" w:rsidTr="00FC202A">
        <w:trPr>
          <w:cnfStyle w:val="000000100000" w:firstRow="0" w:lastRow="0" w:firstColumn="0" w:lastColumn="0" w:oddVBand="0" w:evenVBand="0" w:oddHBand="1" w:evenHBand="0" w:firstRowFirstColumn="0" w:firstRowLastColumn="0" w:lastRowFirstColumn="0" w:lastRowLastColumn="0"/>
          <w:trHeight w:val="475"/>
        </w:trPr>
        <w:tc>
          <w:tcPr>
            <w:cnfStyle w:val="000010000000" w:firstRow="0" w:lastRow="0" w:firstColumn="0" w:lastColumn="0" w:oddVBand="1" w:evenVBand="0" w:oddHBand="0" w:evenHBand="0" w:firstRowFirstColumn="0" w:firstRowLastColumn="0" w:lastRowFirstColumn="0" w:lastRowLastColumn="0"/>
            <w:tcW w:w="10479" w:type="dxa"/>
            <w:vAlign w:val="center"/>
          </w:tcPr>
          <w:p w:rsidR="00AA1CE1" w:rsidRDefault="00AA1CE1" w:rsidP="00DD39D0">
            <w:pPr>
              <w:rPr>
                <w:noProof/>
              </w:rPr>
            </w:pPr>
            <w:r>
              <w:rPr>
                <w:noProof/>
              </w:rPr>
              <w:t xml:space="preserve">Classification: </w:t>
            </w:r>
            <w:r w:rsidR="00357E52">
              <w:rPr>
                <w:noProof/>
              </w:rPr>
              <w:t xml:space="preserve">    </w:t>
            </w:r>
            <w:r w:rsidR="00DD39D0">
              <w:rPr>
                <w:noProof/>
              </w:rPr>
              <w:t>Adjunct Professors</w:t>
            </w:r>
          </w:p>
        </w:tc>
      </w:tr>
      <w:tr w:rsidR="00AA1CE1" w:rsidTr="00FC202A">
        <w:trPr>
          <w:trHeight w:val="475"/>
        </w:trPr>
        <w:tc>
          <w:tcPr>
            <w:cnfStyle w:val="000010000000" w:firstRow="0" w:lastRow="0" w:firstColumn="0" w:lastColumn="0" w:oddVBand="1" w:evenVBand="0" w:oddHBand="0" w:evenHBand="0" w:firstRowFirstColumn="0" w:firstRowLastColumn="0" w:lastRowFirstColumn="0" w:lastRowLastColumn="0"/>
            <w:tcW w:w="10479" w:type="dxa"/>
            <w:vAlign w:val="center"/>
          </w:tcPr>
          <w:p w:rsidR="00AA1CE1" w:rsidRDefault="00AA1CE1" w:rsidP="00DD39D0">
            <w:pPr>
              <w:rPr>
                <w:noProof/>
              </w:rPr>
            </w:pPr>
            <w:r>
              <w:rPr>
                <w:noProof/>
              </w:rPr>
              <w:t xml:space="preserve">Recission(s): </w:t>
            </w:r>
            <w:r w:rsidR="00357E52">
              <w:rPr>
                <w:noProof/>
              </w:rPr>
              <w:t xml:space="preserve">       </w:t>
            </w:r>
            <w:r w:rsidR="00DD39D0">
              <w:rPr>
                <w:noProof/>
              </w:rPr>
              <w:t>UIPP Memo Re: Adjunct Professors  May 23, 2006</w:t>
            </w:r>
          </w:p>
        </w:tc>
      </w:tr>
      <w:tr w:rsidR="00F649BE" w:rsidRPr="00AF7059" w:rsidTr="00FC202A">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10479" w:type="dxa"/>
            <w:vAlign w:val="center"/>
          </w:tcPr>
          <w:p w:rsidR="00FC202A" w:rsidRPr="00AF7059" w:rsidRDefault="00AA1CE1" w:rsidP="00B02BE5">
            <w:pPr>
              <w:rPr>
                <w:rFonts w:ascii="Palatino Linotype" w:hAnsi="Palatino Linotype"/>
                <w:noProof/>
              </w:rPr>
            </w:pPr>
            <w:r>
              <w:rPr>
                <w:rFonts w:ascii="Palatino Linotype" w:hAnsi="Palatino Linotype"/>
                <w:noProof/>
              </w:rPr>
              <w:t xml:space="preserve">Reference No.: </w:t>
            </w:r>
            <w:r w:rsidR="00EF297F">
              <w:rPr>
                <w:rFonts w:ascii="Palatino Linotype" w:hAnsi="Palatino Linotype"/>
                <w:noProof/>
              </w:rPr>
              <w:t>UIPP 201</w:t>
            </w:r>
            <w:r w:rsidR="00B02BE5">
              <w:rPr>
                <w:rFonts w:ascii="Palatino Linotype" w:hAnsi="Palatino Linotype"/>
                <w:noProof/>
              </w:rPr>
              <w:t>4</w:t>
            </w:r>
            <w:r w:rsidR="00EF297F">
              <w:rPr>
                <w:rFonts w:ascii="Palatino Linotype" w:hAnsi="Palatino Linotype"/>
                <w:noProof/>
              </w:rPr>
              <w:t>-0</w:t>
            </w:r>
            <w:r w:rsidR="00FA0DFE">
              <w:rPr>
                <w:rFonts w:ascii="Palatino Linotype" w:hAnsi="Palatino Linotype"/>
                <w:noProof/>
              </w:rPr>
              <w:t>4</w:t>
            </w:r>
          </w:p>
        </w:tc>
      </w:tr>
    </w:tbl>
    <w:p w:rsidR="00E60DA6" w:rsidRPr="00AF7059" w:rsidRDefault="00E60DA6" w:rsidP="000408A0">
      <w:pPr>
        <w:jc w:val="center"/>
      </w:pPr>
    </w:p>
    <w:p w:rsidR="00313E35" w:rsidRPr="007746E7" w:rsidRDefault="009B6ED0" w:rsidP="000408A0">
      <w:pPr>
        <w:rPr>
          <w:rFonts w:ascii="Palatino Linotype" w:hAnsi="Palatino Linotype"/>
        </w:rPr>
      </w:pPr>
      <w:r w:rsidRPr="007746E7">
        <w:rPr>
          <w:rFonts w:ascii="Palatino Linotype" w:hAnsi="Palatino Linotype"/>
        </w:rPr>
        <w:t>T</w:t>
      </w:r>
      <w:r w:rsidR="000408A0" w:rsidRPr="007746E7">
        <w:rPr>
          <w:rFonts w:ascii="Palatino Linotype" w:hAnsi="Palatino Linotype"/>
        </w:rPr>
        <w:t xml:space="preserve">O:  </w:t>
      </w:r>
      <w:r w:rsidR="00C21740" w:rsidRPr="007746E7">
        <w:rPr>
          <w:rFonts w:ascii="Palatino Linotype" w:hAnsi="Palatino Linotype"/>
        </w:rPr>
        <w:tab/>
      </w:r>
      <w:r w:rsidR="00C21740" w:rsidRPr="007746E7">
        <w:rPr>
          <w:rFonts w:ascii="Palatino Linotype" w:hAnsi="Palatino Linotype"/>
        </w:rPr>
        <w:tab/>
      </w:r>
      <w:r w:rsidR="00457E83" w:rsidRPr="007746E7">
        <w:rPr>
          <w:rFonts w:ascii="Palatino Linotype" w:hAnsi="Palatino Linotype"/>
        </w:rPr>
        <w:t xml:space="preserve">All DUA </w:t>
      </w:r>
      <w:r w:rsidR="00EF297F" w:rsidRPr="007746E7">
        <w:rPr>
          <w:rFonts w:ascii="Palatino Linotype" w:hAnsi="Palatino Linotype"/>
        </w:rPr>
        <w:t xml:space="preserve">Managers, Job Service Representatives, Compliance Officers and </w:t>
      </w:r>
    </w:p>
    <w:p w:rsidR="00EF297F" w:rsidRPr="007746E7" w:rsidRDefault="00EF297F" w:rsidP="000408A0">
      <w:pPr>
        <w:rPr>
          <w:rFonts w:ascii="Palatino Linotype" w:hAnsi="Palatino Linotype"/>
        </w:rPr>
      </w:pPr>
      <w:r w:rsidRPr="007746E7">
        <w:rPr>
          <w:rFonts w:ascii="Palatino Linotype" w:hAnsi="Palatino Linotype"/>
        </w:rPr>
        <w:tab/>
      </w:r>
      <w:r w:rsidRPr="007746E7">
        <w:rPr>
          <w:rFonts w:ascii="Palatino Linotype" w:hAnsi="Palatino Linotype"/>
        </w:rPr>
        <w:tab/>
        <w:t>Call Center Staff</w:t>
      </w:r>
    </w:p>
    <w:p w:rsidR="00EF297F" w:rsidRPr="007746E7" w:rsidRDefault="00EF297F" w:rsidP="000408A0">
      <w:pPr>
        <w:rPr>
          <w:rFonts w:ascii="Palatino Linotype" w:hAnsi="Palatino Linotype"/>
        </w:rPr>
      </w:pPr>
    </w:p>
    <w:p w:rsidR="000408A0" w:rsidRPr="007746E7" w:rsidRDefault="000408A0" w:rsidP="000408A0">
      <w:pPr>
        <w:rPr>
          <w:rFonts w:ascii="Palatino Linotype" w:hAnsi="Palatino Linotype"/>
        </w:rPr>
      </w:pPr>
      <w:r w:rsidRPr="007746E7">
        <w:rPr>
          <w:rFonts w:ascii="Palatino Linotype" w:hAnsi="Palatino Linotype"/>
        </w:rPr>
        <w:t xml:space="preserve">FROM:  </w:t>
      </w:r>
      <w:r w:rsidR="00C21740" w:rsidRPr="007746E7">
        <w:rPr>
          <w:rFonts w:ascii="Palatino Linotype" w:hAnsi="Palatino Linotype"/>
        </w:rPr>
        <w:tab/>
      </w:r>
      <w:r w:rsidR="007C653B" w:rsidRPr="007746E7">
        <w:rPr>
          <w:rFonts w:ascii="Palatino Linotype" w:hAnsi="Palatino Linotype"/>
        </w:rPr>
        <w:t xml:space="preserve">Jennifer Lavin, </w:t>
      </w:r>
      <w:r w:rsidR="007B39F6" w:rsidRPr="007746E7">
        <w:rPr>
          <w:rFonts w:ascii="Palatino Linotype" w:hAnsi="Palatino Linotype"/>
        </w:rPr>
        <w:t>Acting Director</w:t>
      </w:r>
    </w:p>
    <w:p w:rsidR="00313E35" w:rsidRPr="007746E7" w:rsidRDefault="00313E35" w:rsidP="00313E35">
      <w:pPr>
        <w:rPr>
          <w:rFonts w:ascii="Palatino Linotype" w:hAnsi="Palatino Linotype"/>
          <w:b/>
        </w:rPr>
      </w:pPr>
    </w:p>
    <w:p w:rsidR="000408A0" w:rsidRPr="007746E7" w:rsidRDefault="000408A0" w:rsidP="003F22EE">
      <w:pPr>
        <w:pBdr>
          <w:bottom w:val="single" w:sz="12" w:space="1" w:color="auto"/>
        </w:pBdr>
        <w:ind w:left="1440" w:hanging="1440"/>
        <w:rPr>
          <w:rFonts w:ascii="Palatino Linotype" w:hAnsi="Palatino Linotype"/>
        </w:rPr>
      </w:pPr>
      <w:r w:rsidRPr="007746E7">
        <w:rPr>
          <w:rFonts w:ascii="Palatino Linotype" w:hAnsi="Palatino Linotype"/>
        </w:rPr>
        <w:t xml:space="preserve">SUBJECT:  </w:t>
      </w:r>
      <w:r w:rsidR="00C21740" w:rsidRPr="007746E7">
        <w:rPr>
          <w:rFonts w:ascii="Palatino Linotype" w:hAnsi="Palatino Linotype"/>
        </w:rPr>
        <w:tab/>
      </w:r>
      <w:r w:rsidR="00DD39D0">
        <w:rPr>
          <w:rFonts w:ascii="Palatino Linotype" w:hAnsi="Palatino Linotype"/>
        </w:rPr>
        <w:t>Reasonable Assurance for Adjunct Professors</w:t>
      </w:r>
    </w:p>
    <w:p w:rsidR="00671BD6" w:rsidRPr="007746E7" w:rsidRDefault="00671BD6" w:rsidP="000408A0">
      <w:pPr>
        <w:rPr>
          <w:rFonts w:ascii="Palatino Linotype" w:hAnsi="Palatino Linotype"/>
          <w:b/>
        </w:rPr>
      </w:pPr>
    </w:p>
    <w:p w:rsidR="005D5AC6" w:rsidRPr="00DD39D0" w:rsidRDefault="005D5AC6" w:rsidP="00EF297F">
      <w:pPr>
        <w:pStyle w:val="ListParagraph"/>
        <w:numPr>
          <w:ilvl w:val="0"/>
          <w:numId w:val="10"/>
        </w:numPr>
        <w:rPr>
          <w:rFonts w:ascii="Palatino Linotype" w:hAnsi="Palatino Linotype"/>
        </w:rPr>
      </w:pPr>
      <w:r w:rsidRPr="007746E7">
        <w:rPr>
          <w:rFonts w:ascii="Palatino Linotype" w:hAnsi="Palatino Linotype"/>
          <w:b/>
          <w:u w:val="single"/>
        </w:rPr>
        <w:t>PURPOSE</w:t>
      </w:r>
      <w:r w:rsidR="00B967F4">
        <w:rPr>
          <w:rFonts w:ascii="Palatino Linotype" w:hAnsi="Palatino Linotype"/>
          <w:b/>
          <w:u w:val="single"/>
        </w:rPr>
        <w:t>.</w:t>
      </w:r>
    </w:p>
    <w:p w:rsidR="00DD39D0" w:rsidRPr="00DD39D0" w:rsidRDefault="00DD39D0" w:rsidP="00DD39D0">
      <w:pPr>
        <w:pStyle w:val="ListParagraph"/>
        <w:rPr>
          <w:rFonts w:ascii="Palatino Linotype" w:hAnsi="Palatino Linotype"/>
        </w:rPr>
      </w:pPr>
      <w:r>
        <w:rPr>
          <w:rFonts w:ascii="Palatino Linotype" w:hAnsi="Palatino Linotype"/>
        </w:rPr>
        <w:t xml:space="preserve">To communicate </w:t>
      </w:r>
      <w:r w:rsidR="004E1628">
        <w:rPr>
          <w:rFonts w:ascii="Palatino Linotype" w:hAnsi="Palatino Linotype"/>
        </w:rPr>
        <w:t>DUA’s</w:t>
      </w:r>
      <w:r>
        <w:rPr>
          <w:rFonts w:ascii="Palatino Linotype" w:hAnsi="Palatino Linotype"/>
        </w:rPr>
        <w:t xml:space="preserve"> </w:t>
      </w:r>
      <w:r w:rsidR="002E4F59">
        <w:rPr>
          <w:rFonts w:ascii="Palatino Linotype" w:hAnsi="Palatino Linotype"/>
        </w:rPr>
        <w:t xml:space="preserve">revised </w:t>
      </w:r>
      <w:r>
        <w:rPr>
          <w:rFonts w:ascii="Palatino Linotype" w:hAnsi="Palatino Linotype"/>
        </w:rPr>
        <w:t xml:space="preserve">policy regarding adjudication of </w:t>
      </w:r>
      <w:r w:rsidR="00813D9C">
        <w:rPr>
          <w:rFonts w:ascii="Palatino Linotype" w:hAnsi="Palatino Linotype"/>
        </w:rPr>
        <w:t>reasonable assurance</w:t>
      </w:r>
      <w:r>
        <w:rPr>
          <w:rFonts w:ascii="Palatino Linotype" w:hAnsi="Palatino Linotype"/>
        </w:rPr>
        <w:t xml:space="preserve"> issues for adjunct professors.</w:t>
      </w:r>
    </w:p>
    <w:p w:rsidR="00113F1D" w:rsidRDefault="00113F1D" w:rsidP="00113F1D">
      <w:pPr>
        <w:pStyle w:val="ListParagraph"/>
        <w:rPr>
          <w:rFonts w:ascii="Palatino Linotype" w:hAnsi="Palatino Linotype"/>
        </w:rPr>
      </w:pPr>
    </w:p>
    <w:p w:rsidR="00EF297F" w:rsidRDefault="00244F71" w:rsidP="00EF297F">
      <w:pPr>
        <w:pStyle w:val="ListParagraph"/>
        <w:numPr>
          <w:ilvl w:val="0"/>
          <w:numId w:val="10"/>
        </w:numPr>
        <w:jc w:val="both"/>
        <w:rPr>
          <w:rFonts w:ascii="Palatino Linotype" w:hAnsi="Palatino Linotype"/>
        </w:rPr>
      </w:pPr>
      <w:r>
        <w:rPr>
          <w:rFonts w:ascii="Palatino Linotype" w:hAnsi="Palatino Linotype"/>
          <w:b/>
          <w:u w:val="single"/>
        </w:rPr>
        <w:t>REFERENCES</w:t>
      </w:r>
      <w:r w:rsidR="00B967F4" w:rsidRPr="002E2D51">
        <w:rPr>
          <w:rFonts w:ascii="Palatino Linotype" w:hAnsi="Palatino Linotype"/>
          <w:b/>
          <w:u w:val="single"/>
        </w:rPr>
        <w:t>.</w:t>
      </w:r>
      <w:r w:rsidR="00ED3232" w:rsidRPr="002E2D51">
        <w:rPr>
          <w:rFonts w:ascii="Palatino Linotype" w:hAnsi="Palatino Linotype"/>
        </w:rPr>
        <w:t xml:space="preserve"> </w:t>
      </w:r>
      <w:r w:rsidR="00113F1D">
        <w:rPr>
          <w:rFonts w:ascii="Palatino Linotype" w:hAnsi="Palatino Linotype"/>
        </w:rPr>
        <w:t xml:space="preserve"> </w:t>
      </w:r>
    </w:p>
    <w:p w:rsidR="00113F1D" w:rsidRPr="00113F1D" w:rsidRDefault="00244F71" w:rsidP="00113F1D">
      <w:pPr>
        <w:pStyle w:val="ListParagraph"/>
        <w:rPr>
          <w:rFonts w:ascii="Palatino Linotype" w:hAnsi="Palatino Linotype"/>
        </w:rPr>
      </w:pPr>
      <w:r>
        <w:rPr>
          <w:rFonts w:ascii="Palatino Linotype" w:hAnsi="Palatino Linotype"/>
        </w:rPr>
        <w:t>US DOL, Unemployment Insurance Program Letter No. 04-87</w:t>
      </w:r>
      <w:r w:rsidR="00760A0A">
        <w:rPr>
          <w:rFonts w:ascii="Palatino Linotype" w:hAnsi="Palatino Linotype"/>
        </w:rPr>
        <w:t xml:space="preserve"> </w:t>
      </w:r>
      <w:r>
        <w:rPr>
          <w:rFonts w:ascii="Palatino Linotype" w:hAnsi="Palatino Linotype"/>
        </w:rPr>
        <w:t>(Dec. 24, 1986).</w:t>
      </w:r>
    </w:p>
    <w:p w:rsidR="00113F1D" w:rsidRPr="00113F1D" w:rsidRDefault="00113F1D" w:rsidP="00113F1D">
      <w:pPr>
        <w:jc w:val="both"/>
        <w:rPr>
          <w:rFonts w:ascii="Palatino Linotype" w:hAnsi="Palatino Linotype"/>
        </w:rPr>
      </w:pPr>
    </w:p>
    <w:p w:rsidR="00713D2D" w:rsidRPr="007746E7" w:rsidRDefault="00EF297F" w:rsidP="00EF297F">
      <w:pPr>
        <w:pStyle w:val="ListParagraph"/>
        <w:numPr>
          <w:ilvl w:val="0"/>
          <w:numId w:val="10"/>
        </w:numPr>
        <w:jc w:val="both"/>
        <w:rPr>
          <w:rFonts w:ascii="Palatino Linotype" w:hAnsi="Palatino Linotype"/>
        </w:rPr>
      </w:pPr>
      <w:r w:rsidRPr="007746E7">
        <w:rPr>
          <w:rFonts w:ascii="Palatino Linotype" w:hAnsi="Palatino Linotype"/>
          <w:b/>
          <w:u w:val="single"/>
        </w:rPr>
        <w:t>BACKGROUND</w:t>
      </w:r>
      <w:r w:rsidR="00B967F4">
        <w:rPr>
          <w:rFonts w:ascii="Palatino Linotype" w:hAnsi="Palatino Linotype"/>
          <w:b/>
          <w:u w:val="single"/>
        </w:rPr>
        <w:t>.</w:t>
      </w:r>
    </w:p>
    <w:p w:rsidR="00A26A2E" w:rsidRDefault="00244F71" w:rsidP="00113F1D">
      <w:pPr>
        <w:ind w:left="720"/>
        <w:jc w:val="both"/>
        <w:rPr>
          <w:rFonts w:ascii="Palatino Linotype" w:hAnsi="Palatino Linotype"/>
        </w:rPr>
      </w:pPr>
      <w:r>
        <w:rPr>
          <w:rFonts w:ascii="Palatino Linotype" w:hAnsi="Palatino Linotype"/>
        </w:rPr>
        <w:t xml:space="preserve">Federal law prohibits the use of base period wages to establish monetary eligibility for UI benefits based on services performed in an instructional, research, or principal administrative capacity for educational employers when a contract or a reasonable assurance exists </w:t>
      </w:r>
      <w:r w:rsidR="00B06062">
        <w:rPr>
          <w:rFonts w:ascii="Palatino Linotype" w:hAnsi="Palatino Linotype"/>
        </w:rPr>
        <w:t>for</w:t>
      </w:r>
      <w:r>
        <w:rPr>
          <w:rFonts w:ascii="Palatino Linotype" w:hAnsi="Palatino Linotype"/>
        </w:rPr>
        <w:t xml:space="preserve"> performing services in the next academic period</w:t>
      </w:r>
      <w:r w:rsidR="00D1445D">
        <w:rPr>
          <w:rFonts w:ascii="Palatino Linotype" w:hAnsi="Palatino Linotype"/>
        </w:rPr>
        <w:t xml:space="preserve"> on economic terms and conditions not substantially less than the terms and conditions for the work in the first academic period</w:t>
      </w:r>
      <w:bookmarkStart w:id="0" w:name="_GoBack"/>
      <w:bookmarkEnd w:id="0"/>
      <w:r>
        <w:rPr>
          <w:rFonts w:ascii="Palatino Linotype" w:hAnsi="Palatino Linotype"/>
        </w:rPr>
        <w:t xml:space="preserve">.  </w:t>
      </w:r>
      <w:r w:rsidR="002E4F59">
        <w:rPr>
          <w:rFonts w:ascii="Palatino Linotype" w:hAnsi="Palatino Linotype"/>
        </w:rPr>
        <w:t>T</w:t>
      </w:r>
      <w:r>
        <w:rPr>
          <w:rFonts w:ascii="Palatino Linotype" w:hAnsi="Palatino Linotype"/>
        </w:rPr>
        <w:t>o determine UI benefit entitlement</w:t>
      </w:r>
      <w:r w:rsidR="002E4F59">
        <w:rPr>
          <w:rFonts w:ascii="Palatino Linotype" w:hAnsi="Palatino Linotype"/>
        </w:rPr>
        <w:t>,</w:t>
      </w:r>
      <w:r>
        <w:rPr>
          <w:rFonts w:ascii="Palatino Linotype" w:hAnsi="Palatino Linotype"/>
        </w:rPr>
        <w:t xml:space="preserve"> it is necessary to review the concept of reasonable assurance as it applies to claims based on services performed for, and wages earned from</w:t>
      </w:r>
      <w:r w:rsidR="00B06062">
        <w:rPr>
          <w:rFonts w:ascii="Palatino Linotype" w:hAnsi="Palatino Linotype"/>
        </w:rPr>
        <w:t>,</w:t>
      </w:r>
      <w:r>
        <w:rPr>
          <w:rFonts w:ascii="Palatino Linotype" w:hAnsi="Palatino Linotype"/>
        </w:rPr>
        <w:t xml:space="preserve"> an educational institution</w:t>
      </w:r>
      <w:r w:rsidR="00C86AA6">
        <w:rPr>
          <w:rFonts w:ascii="Palatino Linotype" w:hAnsi="Palatino Linotype"/>
        </w:rPr>
        <w:t xml:space="preserve"> as set forth in G.L. c. 151A, §</w:t>
      </w:r>
      <w:r w:rsidR="002E4F59">
        <w:rPr>
          <w:rFonts w:ascii="Palatino Linotype" w:hAnsi="Palatino Linotype"/>
        </w:rPr>
        <w:t> </w:t>
      </w:r>
      <w:r w:rsidR="00C86AA6">
        <w:rPr>
          <w:rFonts w:ascii="Palatino Linotype" w:hAnsi="Palatino Linotype"/>
        </w:rPr>
        <w:t>28A.</w:t>
      </w:r>
    </w:p>
    <w:p w:rsidR="00C86AA6" w:rsidRDefault="00C86AA6" w:rsidP="00113F1D">
      <w:pPr>
        <w:ind w:left="720"/>
        <w:jc w:val="both"/>
        <w:rPr>
          <w:rFonts w:ascii="Palatino Linotype" w:hAnsi="Palatino Linotype"/>
        </w:rPr>
      </w:pPr>
    </w:p>
    <w:p w:rsidR="00E60DA6" w:rsidRDefault="00C86AA6" w:rsidP="00C86AA6">
      <w:pPr>
        <w:jc w:val="both"/>
        <w:rPr>
          <w:rFonts w:ascii="Palatino Linotype" w:hAnsi="Palatino Linotype"/>
        </w:rPr>
      </w:pPr>
      <w:r>
        <w:rPr>
          <w:rFonts w:ascii="Palatino Linotype" w:hAnsi="Palatino Linotype"/>
        </w:rPr>
        <w:tab/>
      </w:r>
    </w:p>
    <w:p w:rsidR="00E60DA6" w:rsidRDefault="00E60DA6" w:rsidP="00C86AA6">
      <w:pPr>
        <w:jc w:val="both"/>
        <w:rPr>
          <w:rFonts w:ascii="Palatino Linotype" w:hAnsi="Palatino Linotype"/>
        </w:rPr>
      </w:pPr>
    </w:p>
    <w:p w:rsidR="00C86AA6" w:rsidRDefault="00C86AA6" w:rsidP="00E60DA6">
      <w:pPr>
        <w:ind w:firstLine="720"/>
        <w:jc w:val="both"/>
        <w:rPr>
          <w:rFonts w:ascii="Palatino Linotype" w:hAnsi="Palatino Linotype"/>
        </w:rPr>
      </w:pPr>
      <w:r>
        <w:rPr>
          <w:rFonts w:ascii="Palatino Linotype" w:hAnsi="Palatino Linotype"/>
        </w:rPr>
        <w:lastRenderedPageBreak/>
        <w:t>Reasonable assurance is a written, oral, or implied agreement that the employee</w:t>
      </w:r>
    </w:p>
    <w:p w:rsidR="005665EC" w:rsidRDefault="00C86AA6" w:rsidP="00C86AA6">
      <w:pPr>
        <w:ind w:left="720"/>
        <w:jc w:val="both"/>
        <w:rPr>
          <w:rFonts w:ascii="Palatino Linotype" w:hAnsi="Palatino Linotype"/>
        </w:rPr>
      </w:pPr>
      <w:r>
        <w:rPr>
          <w:rFonts w:ascii="Palatino Linotype" w:hAnsi="Palatino Linotype"/>
        </w:rPr>
        <w:t>will perform</w:t>
      </w:r>
      <w:r>
        <w:rPr>
          <w:rFonts w:ascii="Palatino Linotype" w:hAnsi="Palatino Linotype"/>
        </w:rPr>
        <w:tab/>
        <w:t>services in the same or similar capacity during the next ensuing academic year or term</w:t>
      </w:r>
      <w:r w:rsidR="0056251E">
        <w:rPr>
          <w:rFonts w:ascii="Palatino Linotype" w:hAnsi="Palatino Linotype"/>
        </w:rPr>
        <w:t>.  The reference to “same or similar capacity” refers to the type of services provided</w:t>
      </w:r>
      <w:r w:rsidR="002E4F59">
        <w:rPr>
          <w:rFonts w:ascii="Palatino Linotype" w:hAnsi="Palatino Linotype"/>
        </w:rPr>
        <w:t>:</w:t>
      </w:r>
      <w:r w:rsidR="0056251E">
        <w:rPr>
          <w:rFonts w:ascii="Palatino Linotype" w:hAnsi="Palatino Linotype"/>
        </w:rPr>
        <w:t xml:space="preserve"> professional or non-professional.  </w:t>
      </w:r>
      <w:r w:rsidR="002E4F59">
        <w:rPr>
          <w:rFonts w:ascii="Palatino Linotype" w:hAnsi="Palatino Linotype"/>
        </w:rPr>
        <w:t>F</w:t>
      </w:r>
      <w:r w:rsidR="0056251E">
        <w:rPr>
          <w:rFonts w:ascii="Palatino Linotype" w:hAnsi="Palatino Linotype"/>
        </w:rPr>
        <w:t xml:space="preserve">or </w:t>
      </w:r>
      <w:r w:rsidR="002E4F59">
        <w:rPr>
          <w:rFonts w:ascii="Palatino Linotype" w:hAnsi="Palatino Linotype"/>
        </w:rPr>
        <w:t xml:space="preserve">a </w:t>
      </w:r>
      <w:r w:rsidR="0056251E">
        <w:rPr>
          <w:rFonts w:ascii="Palatino Linotype" w:hAnsi="Palatino Linotype"/>
        </w:rPr>
        <w:t>reasonable assurance to exist</w:t>
      </w:r>
      <w:r w:rsidR="004E1628">
        <w:rPr>
          <w:rFonts w:ascii="Palatino Linotype" w:hAnsi="Palatino Linotype"/>
        </w:rPr>
        <w:t>,</w:t>
      </w:r>
      <w:r w:rsidR="0056251E">
        <w:rPr>
          <w:rFonts w:ascii="Palatino Linotype" w:hAnsi="Palatino Linotype"/>
        </w:rPr>
        <w:t xml:space="preserve"> the educational institution must establish that </w:t>
      </w:r>
      <w:r w:rsidR="00B06062">
        <w:rPr>
          <w:rFonts w:ascii="Palatino Linotype" w:hAnsi="Palatino Linotype"/>
        </w:rPr>
        <w:t xml:space="preserve">the </w:t>
      </w:r>
      <w:r w:rsidR="0056251E">
        <w:rPr>
          <w:rFonts w:ascii="Palatino Linotype" w:hAnsi="Palatino Linotype"/>
        </w:rPr>
        <w:t>claimant has been given a bona fide offer of employment in the next academic period.  An offer of employment will not be considered bona fide if only the possibility of work exists.  A possibility of work, as opposed to a reasonable assurance, exists if the conditions under w</w:t>
      </w:r>
      <w:r w:rsidR="00495DC1">
        <w:rPr>
          <w:rFonts w:ascii="Palatino Linotype" w:hAnsi="Palatino Linotype"/>
        </w:rPr>
        <w:t>hich</w:t>
      </w:r>
      <w:r w:rsidR="0056251E">
        <w:rPr>
          <w:rFonts w:ascii="Palatino Linotype" w:hAnsi="Palatino Linotype"/>
        </w:rPr>
        <w:t xml:space="preserve"> the individual would be employed are not within the educational institution’s control </w:t>
      </w:r>
      <w:r w:rsidR="0056251E">
        <w:rPr>
          <w:rFonts w:ascii="Palatino Linotype" w:hAnsi="Palatino Linotype"/>
          <w:b/>
          <w:u w:val="single"/>
        </w:rPr>
        <w:t>and</w:t>
      </w:r>
      <w:r w:rsidR="0056251E">
        <w:rPr>
          <w:rFonts w:ascii="Palatino Linotype" w:hAnsi="Palatino Linotype"/>
        </w:rPr>
        <w:t xml:space="preserve"> the educational institution cannot provide evidence that such claimants normally perform services in the following academic year.  </w:t>
      </w:r>
      <w:r w:rsidR="002E4F59">
        <w:rPr>
          <w:rFonts w:ascii="Palatino Linotype" w:hAnsi="Palatino Linotype"/>
        </w:rPr>
        <w:t>But</w:t>
      </w:r>
      <w:r w:rsidR="0056251E">
        <w:rPr>
          <w:rFonts w:ascii="Palatino Linotype" w:hAnsi="Palatino Linotype"/>
        </w:rPr>
        <w:t xml:space="preserve"> if the educational institution can establish</w:t>
      </w:r>
      <w:r w:rsidR="00D07351">
        <w:rPr>
          <w:rFonts w:ascii="Palatino Linotype" w:hAnsi="Palatino Linotype"/>
        </w:rPr>
        <w:t xml:space="preserve"> a pattern showing that </w:t>
      </w:r>
      <w:r w:rsidR="0056251E">
        <w:rPr>
          <w:rFonts w:ascii="Palatino Linotype" w:hAnsi="Palatino Linotype"/>
        </w:rPr>
        <w:t xml:space="preserve">the individual </w:t>
      </w:r>
      <w:r w:rsidR="00D07351">
        <w:rPr>
          <w:rFonts w:ascii="Palatino Linotype" w:hAnsi="Palatino Linotype"/>
        </w:rPr>
        <w:t xml:space="preserve">is likely to be </w:t>
      </w:r>
      <w:r w:rsidR="0056251E">
        <w:rPr>
          <w:rFonts w:ascii="Palatino Linotype" w:hAnsi="Palatino Linotype"/>
        </w:rPr>
        <w:t xml:space="preserve">reemployed in </w:t>
      </w:r>
      <w:r w:rsidR="00D07351">
        <w:rPr>
          <w:rFonts w:ascii="Palatino Linotype" w:hAnsi="Palatino Linotype"/>
        </w:rPr>
        <w:t>the second academic period</w:t>
      </w:r>
      <w:r w:rsidR="0056251E">
        <w:rPr>
          <w:rFonts w:ascii="Palatino Linotype" w:hAnsi="Palatino Linotype"/>
        </w:rPr>
        <w:t xml:space="preserve">, </w:t>
      </w:r>
      <w:r w:rsidR="00D07351">
        <w:rPr>
          <w:rFonts w:ascii="Palatino Linotype" w:hAnsi="Palatino Linotype"/>
        </w:rPr>
        <w:t xml:space="preserve">a </w:t>
      </w:r>
      <w:r w:rsidR="0056251E">
        <w:rPr>
          <w:rFonts w:ascii="Palatino Linotype" w:hAnsi="Palatino Linotype"/>
        </w:rPr>
        <w:t xml:space="preserve">reasonable assurance </w:t>
      </w:r>
      <w:r w:rsidR="00D07351">
        <w:rPr>
          <w:rFonts w:ascii="Palatino Linotype" w:hAnsi="Palatino Linotype"/>
        </w:rPr>
        <w:t>exists</w:t>
      </w:r>
      <w:r w:rsidR="0056251E">
        <w:rPr>
          <w:rFonts w:ascii="Palatino Linotype" w:hAnsi="Palatino Linotype"/>
        </w:rPr>
        <w:t>.</w:t>
      </w:r>
      <w:r w:rsidR="00D1445D">
        <w:rPr>
          <w:rFonts w:ascii="Palatino Linotype" w:hAnsi="Palatino Linotype"/>
        </w:rPr>
        <w:t xml:space="preserve"> If, however, the claimant is not, in fact, reemployed in the same or a similar position, then the </w:t>
      </w:r>
      <w:r w:rsidR="006F4EE6">
        <w:rPr>
          <w:rFonts w:ascii="Palatino Linotype" w:hAnsi="Palatino Linotype"/>
        </w:rPr>
        <w:t xml:space="preserve">issue </w:t>
      </w:r>
      <w:r w:rsidR="00D1445D">
        <w:rPr>
          <w:rFonts w:ascii="Palatino Linotype" w:hAnsi="Palatino Linotype"/>
        </w:rPr>
        <w:t>is subject to redetermination.</w:t>
      </w:r>
      <w:r w:rsidR="005665EC">
        <w:rPr>
          <w:rFonts w:ascii="Palatino Linotype" w:hAnsi="Palatino Linotype"/>
        </w:rPr>
        <w:t xml:space="preserve">  </w:t>
      </w:r>
    </w:p>
    <w:p w:rsidR="005665EC" w:rsidRDefault="005665EC" w:rsidP="00C86AA6">
      <w:pPr>
        <w:ind w:left="720"/>
        <w:jc w:val="both"/>
        <w:rPr>
          <w:rFonts w:ascii="Palatino Linotype" w:hAnsi="Palatino Linotype"/>
        </w:rPr>
      </w:pPr>
    </w:p>
    <w:p w:rsidR="00C86AA6" w:rsidRDefault="00233DA6" w:rsidP="00C86AA6">
      <w:pPr>
        <w:ind w:left="720"/>
        <w:jc w:val="both"/>
        <w:rPr>
          <w:rFonts w:ascii="Palatino Linotype" w:hAnsi="Palatino Linotype"/>
        </w:rPr>
      </w:pPr>
      <w:r>
        <w:rPr>
          <w:rFonts w:ascii="Palatino Linotype" w:hAnsi="Palatino Linotype"/>
          <w:b/>
          <w:u w:val="single"/>
        </w:rPr>
        <w:t>E</w:t>
      </w:r>
      <w:r w:rsidR="005665EC" w:rsidRPr="005665EC">
        <w:rPr>
          <w:rFonts w:ascii="Palatino Linotype" w:hAnsi="Palatino Linotype"/>
          <w:b/>
          <w:u w:val="single"/>
        </w:rPr>
        <w:t>xample</w:t>
      </w:r>
      <w:r w:rsidR="005665EC">
        <w:rPr>
          <w:rFonts w:ascii="Palatino Linotype" w:hAnsi="Palatino Linotype"/>
        </w:rPr>
        <w:t>: a teacher is offered the same job in the second academic year in a special program which is funded from an outside source.  This program has been funded for the past four years.  However, at the beginning of summer recess, no notification of the following year’s funding has been received.  Other than this lack of notification, which usually arrives late in the summer, no reason exists to indicate that the program will be suspended or abolished.  While the circumstances under which the teacher is employed are not within the school’s control, the school can still establish a pattern showing that the program is likely to be funded in the second academic year.  Therefore, the offer of work is bona fide and a reasonable assurance exists.  If the program is not funded and the claimant is not employed in accordance with the assurance given earlier, the State must consider whether there was a bona fide offer of employment.</w:t>
      </w:r>
    </w:p>
    <w:p w:rsidR="009E06EE" w:rsidRDefault="009E06EE" w:rsidP="00C86AA6">
      <w:pPr>
        <w:ind w:left="720"/>
        <w:jc w:val="both"/>
        <w:rPr>
          <w:rFonts w:ascii="Palatino Linotype" w:hAnsi="Palatino Linotype"/>
        </w:rPr>
      </w:pPr>
    </w:p>
    <w:p w:rsidR="009E06EE" w:rsidRPr="0056251E" w:rsidRDefault="009E06EE" w:rsidP="00C86AA6">
      <w:pPr>
        <w:ind w:left="720"/>
        <w:jc w:val="both"/>
        <w:rPr>
          <w:rFonts w:ascii="Palatino Linotype" w:hAnsi="Palatino Linotype"/>
        </w:rPr>
      </w:pPr>
      <w:r>
        <w:rPr>
          <w:rFonts w:ascii="Palatino Linotype" w:hAnsi="Palatino Linotype"/>
        </w:rPr>
        <w:t xml:space="preserve">For many years DUA policy has </w:t>
      </w:r>
      <w:r w:rsidR="004E1628">
        <w:rPr>
          <w:rFonts w:ascii="Palatino Linotype" w:hAnsi="Palatino Linotype"/>
        </w:rPr>
        <w:t xml:space="preserve">been to </w:t>
      </w:r>
      <w:r>
        <w:rPr>
          <w:rFonts w:ascii="Palatino Linotype" w:hAnsi="Palatino Linotype"/>
        </w:rPr>
        <w:t xml:space="preserve">approve benefits for adjunct professors </w:t>
      </w:r>
      <w:r w:rsidR="00D07351">
        <w:rPr>
          <w:rFonts w:ascii="Palatino Linotype" w:hAnsi="Palatino Linotype"/>
        </w:rPr>
        <w:t xml:space="preserve">when </w:t>
      </w:r>
      <w:r>
        <w:rPr>
          <w:rFonts w:ascii="Palatino Linotype" w:hAnsi="Palatino Linotype"/>
        </w:rPr>
        <w:t xml:space="preserve">their continued employment in the next ensuing academic year or term is contingent upon enrollment or </w:t>
      </w:r>
      <w:r w:rsidR="00DC27E9">
        <w:rPr>
          <w:rFonts w:ascii="Palatino Linotype" w:hAnsi="Palatino Linotype"/>
        </w:rPr>
        <w:t xml:space="preserve">financing, </w:t>
      </w:r>
      <w:r w:rsidR="00D07351">
        <w:rPr>
          <w:rFonts w:ascii="Palatino Linotype" w:hAnsi="Palatino Linotype"/>
        </w:rPr>
        <w:t>without regard to the actual likelihood of the claimant’s being reemployed</w:t>
      </w:r>
      <w:r w:rsidR="00521DC3">
        <w:rPr>
          <w:rFonts w:ascii="Palatino Linotype" w:hAnsi="Palatino Linotype"/>
        </w:rPr>
        <w:t>.</w:t>
      </w:r>
      <w:r w:rsidR="0045672F">
        <w:rPr>
          <w:rFonts w:ascii="Palatino Linotype" w:hAnsi="Palatino Linotype"/>
        </w:rPr>
        <w:t xml:space="preserve">  DUA has recently become aware that this position is contrary to established guidance from the United States Department of Labor.  DUA is obliged to follow this federal guidance because conformity with US DOL’s interpretation of federal law is a condition of federal financing of the Massachusetts unemployment insurance system.</w:t>
      </w:r>
    </w:p>
    <w:p w:rsidR="00F56BB3" w:rsidRDefault="00F56BB3" w:rsidP="00C900B6">
      <w:pPr>
        <w:pStyle w:val="ListParagraph"/>
        <w:ind w:left="1409"/>
        <w:jc w:val="both"/>
        <w:rPr>
          <w:rFonts w:ascii="Palatino Linotype" w:hAnsi="Palatino Linotype"/>
        </w:rPr>
      </w:pPr>
    </w:p>
    <w:p w:rsidR="009119F5" w:rsidRDefault="009119F5" w:rsidP="00C900B6">
      <w:pPr>
        <w:pStyle w:val="ListParagraph"/>
        <w:ind w:left="1409"/>
        <w:jc w:val="both"/>
        <w:rPr>
          <w:rFonts w:ascii="Palatino Linotype" w:hAnsi="Palatino Linotype"/>
        </w:rPr>
      </w:pPr>
    </w:p>
    <w:p w:rsidR="005763DD" w:rsidRPr="0045672F" w:rsidRDefault="0045672F" w:rsidP="005763DD">
      <w:pPr>
        <w:pStyle w:val="ListParagraph"/>
        <w:numPr>
          <w:ilvl w:val="0"/>
          <w:numId w:val="10"/>
        </w:numPr>
        <w:jc w:val="both"/>
        <w:rPr>
          <w:rFonts w:ascii="Palatino Linotype" w:hAnsi="Palatino Linotype"/>
        </w:rPr>
      </w:pPr>
      <w:r>
        <w:rPr>
          <w:rFonts w:ascii="Palatino Linotype" w:hAnsi="Palatino Linotype"/>
          <w:b/>
          <w:u w:val="single"/>
        </w:rPr>
        <w:lastRenderedPageBreak/>
        <w:t>A</w:t>
      </w:r>
      <w:r w:rsidR="005763DD">
        <w:rPr>
          <w:rFonts w:ascii="Palatino Linotype" w:hAnsi="Palatino Linotype"/>
          <w:b/>
          <w:u w:val="single"/>
        </w:rPr>
        <w:t>CTION.</w:t>
      </w:r>
    </w:p>
    <w:p w:rsidR="0045672F" w:rsidRDefault="0045672F" w:rsidP="0045672F">
      <w:pPr>
        <w:pStyle w:val="ListParagraph"/>
        <w:jc w:val="both"/>
        <w:rPr>
          <w:rFonts w:ascii="Palatino Linotype" w:hAnsi="Palatino Linotype"/>
        </w:rPr>
      </w:pPr>
      <w:r>
        <w:rPr>
          <w:rFonts w:ascii="Palatino Linotype" w:hAnsi="Palatino Linotype"/>
        </w:rPr>
        <w:t xml:space="preserve">When making a determination on whether </w:t>
      </w:r>
      <w:r w:rsidR="00DA67C3">
        <w:rPr>
          <w:rFonts w:ascii="Palatino Linotype" w:hAnsi="Palatino Linotype"/>
        </w:rPr>
        <w:t xml:space="preserve">a </w:t>
      </w:r>
      <w:r>
        <w:rPr>
          <w:rFonts w:ascii="Palatino Linotype" w:hAnsi="Palatino Linotype"/>
        </w:rPr>
        <w:t>reasonable assurance exists for adjunct professors, it must be decided whether:</w:t>
      </w:r>
    </w:p>
    <w:p w:rsidR="0045672F" w:rsidRDefault="0045672F" w:rsidP="0045672F">
      <w:pPr>
        <w:pStyle w:val="ListParagraph"/>
        <w:jc w:val="both"/>
        <w:rPr>
          <w:rFonts w:ascii="Palatino Linotype" w:hAnsi="Palatino Linotype"/>
        </w:rPr>
      </w:pPr>
    </w:p>
    <w:p w:rsidR="0045672F" w:rsidRDefault="00DC27E9" w:rsidP="0045672F">
      <w:pPr>
        <w:pStyle w:val="ListParagraph"/>
        <w:numPr>
          <w:ilvl w:val="0"/>
          <w:numId w:val="30"/>
        </w:numPr>
        <w:jc w:val="both"/>
        <w:rPr>
          <w:rFonts w:ascii="Palatino Linotype" w:hAnsi="Palatino Linotype"/>
        </w:rPr>
      </w:pPr>
      <w:r>
        <w:rPr>
          <w:rFonts w:ascii="Palatino Linotype" w:hAnsi="Palatino Linotype"/>
        </w:rPr>
        <w:t>t</w:t>
      </w:r>
      <w:r w:rsidR="0045672F">
        <w:rPr>
          <w:rFonts w:ascii="Palatino Linotype" w:hAnsi="Palatino Linotype"/>
        </w:rPr>
        <w:t>he employer is an educational institution.  It does not matter whether the institution is public or private; but a private educational institution must have §</w:t>
      </w:r>
      <w:r w:rsidR="00DA67C3">
        <w:rPr>
          <w:rFonts w:ascii="Palatino Linotype" w:hAnsi="Palatino Linotype"/>
        </w:rPr>
        <w:t> </w:t>
      </w:r>
      <w:r w:rsidR="0045672F">
        <w:rPr>
          <w:rFonts w:ascii="Palatino Linotype" w:hAnsi="Palatino Linotype"/>
        </w:rPr>
        <w:t>501(c</w:t>
      </w:r>
      <w:r w:rsidR="00F34EA0">
        <w:rPr>
          <w:rFonts w:ascii="Palatino Linotype" w:hAnsi="Palatino Linotype"/>
        </w:rPr>
        <w:t>) (</w:t>
      </w:r>
      <w:r w:rsidR="0045672F">
        <w:rPr>
          <w:rFonts w:ascii="Palatino Linotype" w:hAnsi="Palatino Linotype"/>
        </w:rPr>
        <w:t>3) status under the Internal Revenue Code and be exempt from tax</w:t>
      </w:r>
      <w:r w:rsidR="004E1628">
        <w:rPr>
          <w:rFonts w:ascii="Palatino Linotype" w:hAnsi="Palatino Linotype"/>
        </w:rPr>
        <w:t>ation under §</w:t>
      </w:r>
      <w:r w:rsidR="00DA67C3">
        <w:rPr>
          <w:rFonts w:ascii="Palatino Linotype" w:hAnsi="Palatino Linotype"/>
        </w:rPr>
        <w:t> </w:t>
      </w:r>
      <w:r w:rsidR="004E1628">
        <w:rPr>
          <w:rFonts w:ascii="Palatino Linotype" w:hAnsi="Palatino Linotype"/>
        </w:rPr>
        <w:t>501(a) of the Code; and</w:t>
      </w:r>
    </w:p>
    <w:p w:rsidR="0045672F" w:rsidRDefault="00DC27E9" w:rsidP="0045672F">
      <w:pPr>
        <w:pStyle w:val="ListParagraph"/>
        <w:numPr>
          <w:ilvl w:val="0"/>
          <w:numId w:val="30"/>
        </w:numPr>
        <w:jc w:val="both"/>
        <w:rPr>
          <w:rFonts w:ascii="Palatino Linotype" w:hAnsi="Palatino Linotype"/>
        </w:rPr>
      </w:pPr>
      <w:r>
        <w:rPr>
          <w:rFonts w:ascii="Palatino Linotype" w:hAnsi="Palatino Linotype"/>
        </w:rPr>
        <w:t>t</w:t>
      </w:r>
      <w:r w:rsidR="0045672F">
        <w:rPr>
          <w:rFonts w:ascii="Palatino Linotype" w:hAnsi="Palatino Linotype"/>
        </w:rPr>
        <w:t xml:space="preserve">he claim </w:t>
      </w:r>
      <w:r w:rsidR="007D44F3">
        <w:rPr>
          <w:rFonts w:ascii="Palatino Linotype" w:hAnsi="Palatino Linotype"/>
        </w:rPr>
        <w:t xml:space="preserve">is </w:t>
      </w:r>
      <w:r w:rsidR="0045672F">
        <w:rPr>
          <w:rFonts w:ascii="Palatino Linotype" w:hAnsi="Palatino Linotype"/>
        </w:rPr>
        <w:t xml:space="preserve">for </w:t>
      </w:r>
      <w:r w:rsidR="00495DC1">
        <w:rPr>
          <w:rFonts w:ascii="Palatino Linotype" w:hAnsi="Palatino Linotype"/>
        </w:rPr>
        <w:t xml:space="preserve">a </w:t>
      </w:r>
      <w:r w:rsidR="0045672F">
        <w:rPr>
          <w:rFonts w:ascii="Palatino Linotype" w:hAnsi="Palatino Linotype"/>
        </w:rPr>
        <w:t>period of time between two suc</w:t>
      </w:r>
      <w:r w:rsidR="004E1628">
        <w:rPr>
          <w:rFonts w:ascii="Palatino Linotype" w:hAnsi="Palatino Linotype"/>
        </w:rPr>
        <w:t>cessive academic years or terms; and</w:t>
      </w:r>
    </w:p>
    <w:p w:rsidR="0045672F" w:rsidRDefault="00DC27E9" w:rsidP="0045672F">
      <w:pPr>
        <w:pStyle w:val="ListParagraph"/>
        <w:numPr>
          <w:ilvl w:val="0"/>
          <w:numId w:val="30"/>
        </w:numPr>
        <w:jc w:val="both"/>
        <w:rPr>
          <w:rFonts w:ascii="Palatino Linotype" w:hAnsi="Palatino Linotype"/>
        </w:rPr>
      </w:pPr>
      <w:r>
        <w:rPr>
          <w:rFonts w:ascii="Palatino Linotype" w:hAnsi="Palatino Linotype"/>
        </w:rPr>
        <w:t>t</w:t>
      </w:r>
      <w:r w:rsidR="0045672F">
        <w:rPr>
          <w:rFonts w:ascii="Palatino Linotype" w:hAnsi="Palatino Linotype"/>
        </w:rPr>
        <w:t xml:space="preserve">he claimant </w:t>
      </w:r>
      <w:r w:rsidR="00620779">
        <w:rPr>
          <w:rFonts w:ascii="Palatino Linotype" w:hAnsi="Palatino Linotype"/>
        </w:rPr>
        <w:t>has r</w:t>
      </w:r>
      <w:r w:rsidR="0045672F">
        <w:rPr>
          <w:rFonts w:ascii="Palatino Linotype" w:hAnsi="Palatino Linotype"/>
        </w:rPr>
        <w:t xml:space="preserve">eceived </w:t>
      </w:r>
      <w:r w:rsidR="00DA67C3">
        <w:rPr>
          <w:rFonts w:ascii="Palatino Linotype" w:hAnsi="Palatino Linotype"/>
        </w:rPr>
        <w:t xml:space="preserve">a </w:t>
      </w:r>
      <w:r w:rsidR="0045672F">
        <w:rPr>
          <w:rFonts w:ascii="Palatino Linotype" w:hAnsi="Palatino Linotype"/>
        </w:rPr>
        <w:t>“reasonable assurance</w:t>
      </w:r>
      <w:r w:rsidR="00DA67C3">
        <w:rPr>
          <w:rFonts w:ascii="Palatino Linotype" w:hAnsi="Palatino Linotype"/>
        </w:rPr>
        <w:t>,</w:t>
      </w:r>
      <w:r w:rsidR="0045672F">
        <w:rPr>
          <w:rFonts w:ascii="Palatino Linotype" w:hAnsi="Palatino Linotype"/>
        </w:rPr>
        <w:t>” either in the form of a written contract or otherwise, of reemployment in the same or similar position for</w:t>
      </w:r>
      <w:r w:rsidR="004E1628">
        <w:rPr>
          <w:rFonts w:ascii="Palatino Linotype" w:hAnsi="Palatino Linotype"/>
        </w:rPr>
        <w:t xml:space="preserve"> the next academic year or term; and</w:t>
      </w:r>
    </w:p>
    <w:p w:rsidR="0045672F" w:rsidRDefault="00DC27E9" w:rsidP="0045672F">
      <w:pPr>
        <w:pStyle w:val="ListParagraph"/>
        <w:numPr>
          <w:ilvl w:val="0"/>
          <w:numId w:val="30"/>
        </w:numPr>
        <w:jc w:val="both"/>
        <w:rPr>
          <w:rFonts w:ascii="Palatino Linotype" w:hAnsi="Palatino Linotype"/>
        </w:rPr>
      </w:pPr>
      <w:r>
        <w:rPr>
          <w:rFonts w:ascii="Palatino Linotype" w:hAnsi="Palatino Linotype"/>
        </w:rPr>
        <w:t>t</w:t>
      </w:r>
      <w:r w:rsidR="0045672F">
        <w:rPr>
          <w:rFonts w:ascii="Palatino Linotype" w:hAnsi="Palatino Linotype"/>
        </w:rPr>
        <w:t xml:space="preserve">he economic terms and conditions of the job offered in the second period are not substantially less than the terms and conditions </w:t>
      </w:r>
      <w:r w:rsidR="004E1628">
        <w:rPr>
          <w:rFonts w:ascii="Palatino Linotype" w:hAnsi="Palatino Linotype"/>
        </w:rPr>
        <w:t>for the job in the first period; and</w:t>
      </w:r>
    </w:p>
    <w:p w:rsidR="00D11A86" w:rsidRDefault="00DA67C3" w:rsidP="0045672F">
      <w:pPr>
        <w:pStyle w:val="ListParagraph"/>
        <w:numPr>
          <w:ilvl w:val="0"/>
          <w:numId w:val="30"/>
        </w:numPr>
        <w:jc w:val="both"/>
        <w:rPr>
          <w:rFonts w:ascii="Palatino Linotype" w:hAnsi="Palatino Linotype"/>
        </w:rPr>
      </w:pPr>
      <w:proofErr w:type="gramStart"/>
      <w:r>
        <w:rPr>
          <w:rFonts w:ascii="Palatino Linotype" w:hAnsi="Palatino Linotype"/>
        </w:rPr>
        <w:t>if</w:t>
      </w:r>
      <w:proofErr w:type="gramEnd"/>
      <w:r>
        <w:rPr>
          <w:rFonts w:ascii="Palatino Linotype" w:hAnsi="Palatino Linotype"/>
        </w:rPr>
        <w:t xml:space="preserve"> the proposed reasonable assurance is contingent on circumstances not within the educational institution’s control, whether the institution can still establish a pattern showing the claimant is likely to be reemployed in the second academic period</w:t>
      </w:r>
      <w:r w:rsidR="00D11A86">
        <w:rPr>
          <w:rFonts w:ascii="Palatino Linotype" w:hAnsi="Palatino Linotype"/>
        </w:rPr>
        <w:t>.</w:t>
      </w:r>
    </w:p>
    <w:p w:rsidR="00D11A86" w:rsidRDefault="00D11A86" w:rsidP="00D11A86">
      <w:pPr>
        <w:jc w:val="both"/>
        <w:rPr>
          <w:rFonts w:ascii="Palatino Linotype" w:hAnsi="Palatino Linotype"/>
        </w:rPr>
      </w:pPr>
    </w:p>
    <w:p w:rsidR="00DC27E9" w:rsidRDefault="00D11A86" w:rsidP="00D11A86">
      <w:pPr>
        <w:jc w:val="both"/>
        <w:rPr>
          <w:rFonts w:ascii="Palatino Linotype" w:hAnsi="Palatino Linotype"/>
        </w:rPr>
      </w:pPr>
      <w:r>
        <w:rPr>
          <w:rFonts w:ascii="Palatino Linotype" w:hAnsi="Palatino Linotype"/>
        </w:rPr>
        <w:t xml:space="preserve">If </w:t>
      </w:r>
      <w:r w:rsidR="00DA67C3">
        <w:rPr>
          <w:rFonts w:ascii="Palatino Linotype" w:hAnsi="Palatino Linotype"/>
        </w:rPr>
        <w:t xml:space="preserve">each of these factors is established, then </w:t>
      </w:r>
      <w:r w:rsidR="00DC27E9">
        <w:rPr>
          <w:rFonts w:ascii="Palatino Linotype" w:hAnsi="Palatino Linotype"/>
        </w:rPr>
        <w:t>t</w:t>
      </w:r>
      <w:r>
        <w:rPr>
          <w:rFonts w:ascii="Palatino Linotype" w:hAnsi="Palatino Linotype"/>
        </w:rPr>
        <w:t xml:space="preserve">he claimant has a reasonable assurance </w:t>
      </w:r>
      <w:r w:rsidR="00DC27E9">
        <w:rPr>
          <w:rFonts w:ascii="Palatino Linotype" w:hAnsi="Palatino Linotype"/>
        </w:rPr>
        <w:t>of re-employment within the meaning of G.L. c.</w:t>
      </w:r>
      <w:r w:rsidR="004E1628">
        <w:rPr>
          <w:rFonts w:ascii="Palatino Linotype" w:hAnsi="Palatino Linotype"/>
        </w:rPr>
        <w:t xml:space="preserve"> </w:t>
      </w:r>
      <w:r w:rsidR="00DC27E9">
        <w:rPr>
          <w:rFonts w:ascii="Palatino Linotype" w:hAnsi="Palatino Linotype"/>
        </w:rPr>
        <w:t>151A, §28A and the base period wages earned while in the employ of any educational institution must be excluded from the benefit claim.</w:t>
      </w:r>
    </w:p>
    <w:p w:rsidR="00DC27E9" w:rsidRDefault="00DC27E9" w:rsidP="00D11A86">
      <w:pPr>
        <w:jc w:val="both"/>
        <w:rPr>
          <w:rFonts w:ascii="Palatino Linotype" w:hAnsi="Palatino Linotype"/>
        </w:rPr>
      </w:pPr>
    </w:p>
    <w:p w:rsidR="00C51CD5" w:rsidRPr="005763DD" w:rsidRDefault="005E48A2" w:rsidP="005763DD">
      <w:pPr>
        <w:jc w:val="both"/>
        <w:rPr>
          <w:rFonts w:ascii="Palatino Linotype" w:hAnsi="Palatino Linotype"/>
          <w:b/>
        </w:rPr>
      </w:pPr>
      <w:r>
        <w:rPr>
          <w:rFonts w:ascii="Palatino Linotype" w:hAnsi="Palatino Linotype"/>
        </w:rPr>
        <w:t>5</w:t>
      </w:r>
      <w:r w:rsidR="005763DD" w:rsidRPr="005763DD">
        <w:rPr>
          <w:rFonts w:ascii="Palatino Linotype" w:hAnsi="Palatino Linotype"/>
          <w:b/>
        </w:rPr>
        <w:t>.</w:t>
      </w:r>
      <w:r w:rsidR="005763DD">
        <w:rPr>
          <w:rFonts w:ascii="Palatino Linotype" w:hAnsi="Palatino Linotype"/>
          <w:b/>
        </w:rPr>
        <w:t xml:space="preserve"> </w:t>
      </w:r>
      <w:r w:rsidR="005763DD" w:rsidRPr="005763DD">
        <w:rPr>
          <w:rFonts w:ascii="Palatino Linotype" w:hAnsi="Palatino Linotype"/>
          <w:b/>
          <w:u w:val="single"/>
        </w:rPr>
        <w:t>QUESTIONS.</w:t>
      </w:r>
    </w:p>
    <w:p w:rsidR="00C51CD5" w:rsidRPr="005763DD" w:rsidRDefault="00C51CD5" w:rsidP="005763DD">
      <w:pPr>
        <w:jc w:val="both"/>
        <w:rPr>
          <w:rFonts w:ascii="Palatino Linotype" w:hAnsi="Palatino Linotype"/>
        </w:rPr>
      </w:pPr>
      <w:r w:rsidRPr="005763DD">
        <w:rPr>
          <w:rFonts w:ascii="Palatino Linotype" w:hAnsi="Palatino Linotype"/>
        </w:rPr>
        <w:t xml:space="preserve">Any questions regarding </w:t>
      </w:r>
      <w:r w:rsidR="00DC27E9">
        <w:rPr>
          <w:rFonts w:ascii="Palatino Linotype" w:hAnsi="Palatino Linotype"/>
        </w:rPr>
        <w:t>adjunct professors</w:t>
      </w:r>
      <w:r w:rsidR="005763DD" w:rsidRPr="005763DD">
        <w:rPr>
          <w:rFonts w:ascii="Palatino Linotype" w:hAnsi="Palatino Linotype"/>
        </w:rPr>
        <w:t xml:space="preserve"> </w:t>
      </w:r>
      <w:r w:rsidRPr="005763DD">
        <w:rPr>
          <w:rFonts w:ascii="Palatino Linotype" w:hAnsi="Palatino Linotype"/>
        </w:rPr>
        <w:t>should be directed to the UI Policy and Performance Department at (617) 626-6422.</w:t>
      </w:r>
    </w:p>
    <w:p w:rsidR="00452122" w:rsidRDefault="00452122" w:rsidP="000408A0">
      <w:pPr>
        <w:rPr>
          <w:sz w:val="20"/>
          <w:szCs w:val="20"/>
        </w:rPr>
      </w:pPr>
    </w:p>
    <w:p w:rsidR="00452122" w:rsidRDefault="00452122" w:rsidP="000408A0">
      <w:pPr>
        <w:rPr>
          <w:sz w:val="20"/>
          <w:szCs w:val="20"/>
        </w:rPr>
      </w:pPr>
    </w:p>
    <w:p w:rsidR="00452122" w:rsidRDefault="00452122" w:rsidP="000408A0">
      <w:pPr>
        <w:rPr>
          <w:sz w:val="20"/>
          <w:szCs w:val="20"/>
        </w:rPr>
      </w:pPr>
    </w:p>
    <w:p w:rsidR="00452122" w:rsidRDefault="00452122" w:rsidP="000408A0">
      <w:pPr>
        <w:rPr>
          <w:sz w:val="20"/>
          <w:szCs w:val="20"/>
        </w:rPr>
      </w:pPr>
    </w:p>
    <w:p w:rsidR="00452122" w:rsidRDefault="00452122" w:rsidP="000408A0">
      <w:pPr>
        <w:rPr>
          <w:sz w:val="20"/>
          <w:szCs w:val="20"/>
        </w:rPr>
      </w:pPr>
    </w:p>
    <w:p w:rsidR="00452122" w:rsidRDefault="00452122" w:rsidP="000408A0">
      <w:pPr>
        <w:rPr>
          <w:sz w:val="20"/>
          <w:szCs w:val="20"/>
        </w:rPr>
      </w:pPr>
    </w:p>
    <w:p w:rsidR="00452122" w:rsidRDefault="00313E35" w:rsidP="000408A0">
      <w:pPr>
        <w:rPr>
          <w:sz w:val="20"/>
          <w:szCs w:val="20"/>
        </w:rPr>
      </w:pPr>
      <w:r>
        <w:rPr>
          <w:sz w:val="20"/>
          <w:szCs w:val="20"/>
        </w:rPr>
        <w:t xml:space="preserve"> </w:t>
      </w:r>
    </w:p>
    <w:p w:rsidR="00452122" w:rsidRDefault="00452122" w:rsidP="000408A0">
      <w:pPr>
        <w:rPr>
          <w:sz w:val="20"/>
          <w:szCs w:val="20"/>
        </w:rPr>
      </w:pPr>
    </w:p>
    <w:p w:rsidR="00452122" w:rsidRDefault="00452122" w:rsidP="000408A0">
      <w:pPr>
        <w:rPr>
          <w:sz w:val="20"/>
          <w:szCs w:val="20"/>
        </w:rPr>
      </w:pPr>
    </w:p>
    <w:p w:rsidR="00452122" w:rsidRPr="00452122" w:rsidRDefault="00452122" w:rsidP="000408A0">
      <w:pPr>
        <w:rPr>
          <w:sz w:val="20"/>
          <w:szCs w:val="20"/>
        </w:rPr>
      </w:pPr>
    </w:p>
    <w:sectPr w:rsidR="00452122" w:rsidRPr="00452122" w:rsidSect="00E60DA6">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C3" w:rsidRDefault="00521DC3" w:rsidP="00C21740">
      <w:r>
        <w:separator/>
      </w:r>
    </w:p>
  </w:endnote>
  <w:endnote w:type="continuationSeparator" w:id="0">
    <w:p w:rsidR="00521DC3" w:rsidRDefault="00521DC3" w:rsidP="00C2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537093"/>
      <w:docPartObj>
        <w:docPartGallery w:val="Page Numbers (Bottom of Page)"/>
        <w:docPartUnique/>
      </w:docPartObj>
    </w:sdtPr>
    <w:sdtEndPr>
      <w:rPr>
        <w:noProof/>
      </w:rPr>
    </w:sdtEndPr>
    <w:sdtContent>
      <w:p w:rsidR="00521DC3" w:rsidRDefault="00521DC3">
        <w:pPr>
          <w:pStyle w:val="Footer"/>
          <w:jc w:val="center"/>
        </w:pPr>
        <w:r>
          <w:rPr>
            <w:noProof/>
          </w:rPr>
          <mc:AlternateContent>
            <mc:Choice Requires="wps">
              <w:drawing>
                <wp:inline distT="0" distB="0" distL="0" distR="0" wp14:anchorId="54C8B684" wp14:editId="330ECA35">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521DC3" w:rsidRDefault="00521DC3">
        <w:pPr>
          <w:pStyle w:val="Footer"/>
          <w:jc w:val="center"/>
        </w:pPr>
        <w:r>
          <w:fldChar w:fldCharType="begin"/>
        </w:r>
        <w:r>
          <w:instrText xml:space="preserve"> PAGE    \* MERGEFORMAT </w:instrText>
        </w:r>
        <w:r>
          <w:fldChar w:fldCharType="separate"/>
        </w:r>
        <w:r w:rsidR="005C5C28">
          <w:rPr>
            <w:noProof/>
          </w:rPr>
          <w:t>2</w:t>
        </w:r>
        <w:r>
          <w:rPr>
            <w:noProof/>
          </w:rPr>
          <w:fldChar w:fldCharType="end"/>
        </w:r>
      </w:p>
    </w:sdtContent>
  </w:sdt>
  <w:p w:rsidR="00521DC3" w:rsidRDefault="00521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C3" w:rsidRDefault="00521DC3" w:rsidP="00C21740">
      <w:r>
        <w:separator/>
      </w:r>
    </w:p>
  </w:footnote>
  <w:footnote w:type="continuationSeparator" w:id="0">
    <w:p w:rsidR="00521DC3" w:rsidRDefault="00521DC3" w:rsidP="00C21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337"/>
    <w:multiLevelType w:val="hybridMultilevel"/>
    <w:tmpl w:val="DD6C2C2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8985D72"/>
    <w:multiLevelType w:val="hybridMultilevel"/>
    <w:tmpl w:val="59185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C66DE"/>
    <w:multiLevelType w:val="hybridMultilevel"/>
    <w:tmpl w:val="611E43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12E75AD3"/>
    <w:multiLevelType w:val="hybridMultilevel"/>
    <w:tmpl w:val="5A32B44C"/>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
    <w:nsid w:val="159771E7"/>
    <w:multiLevelType w:val="hybridMultilevel"/>
    <w:tmpl w:val="E108AA3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1CFC1DD1"/>
    <w:multiLevelType w:val="hybridMultilevel"/>
    <w:tmpl w:val="AB4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04B9E"/>
    <w:multiLevelType w:val="hybridMultilevel"/>
    <w:tmpl w:val="463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250FD"/>
    <w:multiLevelType w:val="hybridMultilevel"/>
    <w:tmpl w:val="6C3E0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116ECA"/>
    <w:multiLevelType w:val="hybridMultilevel"/>
    <w:tmpl w:val="AB3C9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6B7DE8"/>
    <w:multiLevelType w:val="hybridMultilevel"/>
    <w:tmpl w:val="210E6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F6E43"/>
    <w:multiLevelType w:val="hybridMultilevel"/>
    <w:tmpl w:val="F81854DE"/>
    <w:lvl w:ilvl="0" w:tplc="0E08A3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23B2EAF"/>
    <w:multiLevelType w:val="hybridMultilevel"/>
    <w:tmpl w:val="3F6EE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E14BF8"/>
    <w:multiLevelType w:val="hybridMultilevel"/>
    <w:tmpl w:val="B17A2140"/>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3">
    <w:nsid w:val="3A3673B3"/>
    <w:multiLevelType w:val="hybridMultilevel"/>
    <w:tmpl w:val="738A064E"/>
    <w:lvl w:ilvl="0" w:tplc="60B2F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8633A2"/>
    <w:multiLevelType w:val="hybridMultilevel"/>
    <w:tmpl w:val="452612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C18AC"/>
    <w:multiLevelType w:val="hybridMultilevel"/>
    <w:tmpl w:val="47A4CAD0"/>
    <w:lvl w:ilvl="0" w:tplc="04090003">
      <w:start w:val="1"/>
      <w:numFmt w:val="bullet"/>
      <w:lvlText w:val="o"/>
      <w:lvlJc w:val="left"/>
      <w:pPr>
        <w:ind w:left="1143" w:hanging="360"/>
      </w:pPr>
      <w:rPr>
        <w:rFonts w:ascii="Courier New" w:hAnsi="Courier New" w:cs="Courier New"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6">
    <w:nsid w:val="414A6F18"/>
    <w:multiLevelType w:val="hybridMultilevel"/>
    <w:tmpl w:val="9DA40ACE"/>
    <w:lvl w:ilvl="0" w:tplc="8F18F0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5C0E93"/>
    <w:multiLevelType w:val="hybridMultilevel"/>
    <w:tmpl w:val="81F87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0C7292"/>
    <w:multiLevelType w:val="hybridMultilevel"/>
    <w:tmpl w:val="EE885622"/>
    <w:lvl w:ilvl="0" w:tplc="708042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6100EF2"/>
    <w:multiLevelType w:val="hybridMultilevel"/>
    <w:tmpl w:val="325414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5335D31"/>
    <w:multiLevelType w:val="hybridMultilevel"/>
    <w:tmpl w:val="BBCE7B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6B81B42"/>
    <w:multiLevelType w:val="hybridMultilevel"/>
    <w:tmpl w:val="E1D41FAE"/>
    <w:lvl w:ilvl="0" w:tplc="04090003">
      <w:start w:val="1"/>
      <w:numFmt w:val="bullet"/>
      <w:lvlText w:val="o"/>
      <w:lvlJc w:val="left"/>
      <w:pPr>
        <w:ind w:left="1143" w:hanging="360"/>
      </w:pPr>
      <w:rPr>
        <w:rFonts w:ascii="Courier New" w:hAnsi="Courier New" w:cs="Courier New"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2">
    <w:nsid w:val="5B0D5045"/>
    <w:multiLevelType w:val="hybridMultilevel"/>
    <w:tmpl w:val="640A2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5D3482"/>
    <w:multiLevelType w:val="hybridMultilevel"/>
    <w:tmpl w:val="497EBE7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5CCC4C3E"/>
    <w:multiLevelType w:val="hybridMultilevel"/>
    <w:tmpl w:val="3F8C6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8A3EFC"/>
    <w:multiLevelType w:val="hybridMultilevel"/>
    <w:tmpl w:val="AC70CC0A"/>
    <w:lvl w:ilvl="0" w:tplc="EAC40BB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587471"/>
    <w:multiLevelType w:val="hybridMultilevel"/>
    <w:tmpl w:val="D6C25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3A0FD6"/>
    <w:multiLevelType w:val="hybridMultilevel"/>
    <w:tmpl w:val="60668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14065B"/>
    <w:multiLevelType w:val="hybridMultilevel"/>
    <w:tmpl w:val="133659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86932A2"/>
    <w:multiLevelType w:val="hybridMultilevel"/>
    <w:tmpl w:val="4DA89AEC"/>
    <w:lvl w:ilvl="0" w:tplc="04090003">
      <w:start w:val="1"/>
      <w:numFmt w:val="bullet"/>
      <w:lvlText w:val="o"/>
      <w:lvlJc w:val="left"/>
      <w:pPr>
        <w:ind w:left="2348" w:hanging="360"/>
      </w:pPr>
      <w:rPr>
        <w:rFonts w:ascii="Courier New" w:hAnsi="Courier New" w:cs="Courier New"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num w:numId="1">
    <w:abstractNumId w:val="16"/>
  </w:num>
  <w:num w:numId="2">
    <w:abstractNumId w:val="5"/>
  </w:num>
  <w:num w:numId="3">
    <w:abstractNumId w:val="13"/>
  </w:num>
  <w:num w:numId="4">
    <w:abstractNumId w:val="10"/>
  </w:num>
  <w:num w:numId="5">
    <w:abstractNumId w:val="18"/>
  </w:num>
  <w:num w:numId="6">
    <w:abstractNumId w:val="4"/>
  </w:num>
  <w:num w:numId="7">
    <w:abstractNumId w:val="26"/>
  </w:num>
  <w:num w:numId="8">
    <w:abstractNumId w:val="17"/>
  </w:num>
  <w:num w:numId="9">
    <w:abstractNumId w:val="25"/>
  </w:num>
  <w:num w:numId="10">
    <w:abstractNumId w:val="14"/>
  </w:num>
  <w:num w:numId="11">
    <w:abstractNumId w:val="2"/>
  </w:num>
  <w:num w:numId="12">
    <w:abstractNumId w:val="15"/>
  </w:num>
  <w:num w:numId="13">
    <w:abstractNumId w:val="7"/>
  </w:num>
  <w:num w:numId="14">
    <w:abstractNumId w:val="24"/>
  </w:num>
  <w:num w:numId="15">
    <w:abstractNumId w:val="1"/>
  </w:num>
  <w:num w:numId="16">
    <w:abstractNumId w:val="21"/>
  </w:num>
  <w:num w:numId="17">
    <w:abstractNumId w:val="9"/>
  </w:num>
  <w:num w:numId="18">
    <w:abstractNumId w:val="27"/>
  </w:num>
  <w:num w:numId="19">
    <w:abstractNumId w:val="0"/>
  </w:num>
  <w:num w:numId="20">
    <w:abstractNumId w:val="6"/>
  </w:num>
  <w:num w:numId="21">
    <w:abstractNumId w:val="28"/>
  </w:num>
  <w:num w:numId="22">
    <w:abstractNumId w:val="12"/>
  </w:num>
  <w:num w:numId="23">
    <w:abstractNumId w:val="3"/>
  </w:num>
  <w:num w:numId="24">
    <w:abstractNumId w:val="20"/>
  </w:num>
  <w:num w:numId="25">
    <w:abstractNumId w:val="23"/>
  </w:num>
  <w:num w:numId="26">
    <w:abstractNumId w:val="29"/>
  </w:num>
  <w:num w:numId="27">
    <w:abstractNumId w:val="8"/>
  </w:num>
  <w:num w:numId="28">
    <w:abstractNumId w:val="19"/>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A0"/>
    <w:rsid w:val="00022943"/>
    <w:rsid w:val="00027336"/>
    <w:rsid w:val="000408A0"/>
    <w:rsid w:val="0006704C"/>
    <w:rsid w:val="00067993"/>
    <w:rsid w:val="000A4744"/>
    <w:rsid w:val="000B1601"/>
    <w:rsid w:val="000D57A6"/>
    <w:rsid w:val="000F7FA2"/>
    <w:rsid w:val="00110690"/>
    <w:rsid w:val="00113D69"/>
    <w:rsid w:val="00113F1D"/>
    <w:rsid w:val="00120F05"/>
    <w:rsid w:val="00131F9C"/>
    <w:rsid w:val="00161E70"/>
    <w:rsid w:val="00180224"/>
    <w:rsid w:val="00186D3E"/>
    <w:rsid w:val="0019696D"/>
    <w:rsid w:val="001D07BD"/>
    <w:rsid w:val="00233DA6"/>
    <w:rsid w:val="00244F71"/>
    <w:rsid w:val="002614AE"/>
    <w:rsid w:val="0026530E"/>
    <w:rsid w:val="00283BE2"/>
    <w:rsid w:val="002862C6"/>
    <w:rsid w:val="00295FF8"/>
    <w:rsid w:val="002D1527"/>
    <w:rsid w:val="002D49E3"/>
    <w:rsid w:val="002E2D51"/>
    <w:rsid w:val="002E350E"/>
    <w:rsid w:val="002E41E3"/>
    <w:rsid w:val="002E4F59"/>
    <w:rsid w:val="003003FF"/>
    <w:rsid w:val="00306EDE"/>
    <w:rsid w:val="003121F0"/>
    <w:rsid w:val="00313E35"/>
    <w:rsid w:val="003140AE"/>
    <w:rsid w:val="00346B76"/>
    <w:rsid w:val="00357E52"/>
    <w:rsid w:val="003729B0"/>
    <w:rsid w:val="00383E6C"/>
    <w:rsid w:val="003905AB"/>
    <w:rsid w:val="003A6DA8"/>
    <w:rsid w:val="003B32A6"/>
    <w:rsid w:val="003C6918"/>
    <w:rsid w:val="003D699B"/>
    <w:rsid w:val="003F22EE"/>
    <w:rsid w:val="00417521"/>
    <w:rsid w:val="00430BA3"/>
    <w:rsid w:val="00432B60"/>
    <w:rsid w:val="00443936"/>
    <w:rsid w:val="00452122"/>
    <w:rsid w:val="0045513B"/>
    <w:rsid w:val="0045672F"/>
    <w:rsid w:val="00457E83"/>
    <w:rsid w:val="004911E8"/>
    <w:rsid w:val="00495DC1"/>
    <w:rsid w:val="00497946"/>
    <w:rsid w:val="004A0560"/>
    <w:rsid w:val="004B3937"/>
    <w:rsid w:val="004C072D"/>
    <w:rsid w:val="004C413B"/>
    <w:rsid w:val="004D223D"/>
    <w:rsid w:val="004E1628"/>
    <w:rsid w:val="004E6ADB"/>
    <w:rsid w:val="004E7725"/>
    <w:rsid w:val="00500D19"/>
    <w:rsid w:val="0050701D"/>
    <w:rsid w:val="0051496C"/>
    <w:rsid w:val="005201C1"/>
    <w:rsid w:val="00521DC3"/>
    <w:rsid w:val="0054059F"/>
    <w:rsid w:val="00544242"/>
    <w:rsid w:val="0056251E"/>
    <w:rsid w:val="005665EC"/>
    <w:rsid w:val="00570160"/>
    <w:rsid w:val="005763DD"/>
    <w:rsid w:val="00581162"/>
    <w:rsid w:val="00591B21"/>
    <w:rsid w:val="00593FE2"/>
    <w:rsid w:val="005A6855"/>
    <w:rsid w:val="005B4EF6"/>
    <w:rsid w:val="005C5C28"/>
    <w:rsid w:val="005D20BA"/>
    <w:rsid w:val="005D5AC6"/>
    <w:rsid w:val="005E48A2"/>
    <w:rsid w:val="006108AA"/>
    <w:rsid w:val="0061507F"/>
    <w:rsid w:val="00620779"/>
    <w:rsid w:val="00631F5B"/>
    <w:rsid w:val="00671BD6"/>
    <w:rsid w:val="006766D7"/>
    <w:rsid w:val="0067692C"/>
    <w:rsid w:val="006B54E4"/>
    <w:rsid w:val="006D4B24"/>
    <w:rsid w:val="006F4EE6"/>
    <w:rsid w:val="00713D2D"/>
    <w:rsid w:val="007308E7"/>
    <w:rsid w:val="00735564"/>
    <w:rsid w:val="0075734B"/>
    <w:rsid w:val="00760A0A"/>
    <w:rsid w:val="00764D0F"/>
    <w:rsid w:val="007746E7"/>
    <w:rsid w:val="00784D42"/>
    <w:rsid w:val="007B39F6"/>
    <w:rsid w:val="007C653B"/>
    <w:rsid w:val="007D44F3"/>
    <w:rsid w:val="007E7C8F"/>
    <w:rsid w:val="00804A7F"/>
    <w:rsid w:val="00813D9C"/>
    <w:rsid w:val="00823D6B"/>
    <w:rsid w:val="0084756C"/>
    <w:rsid w:val="00876DA4"/>
    <w:rsid w:val="0089313B"/>
    <w:rsid w:val="008972E7"/>
    <w:rsid w:val="008E222F"/>
    <w:rsid w:val="008E314F"/>
    <w:rsid w:val="009119F5"/>
    <w:rsid w:val="00937AC3"/>
    <w:rsid w:val="009A37B7"/>
    <w:rsid w:val="009B09D8"/>
    <w:rsid w:val="009B6438"/>
    <w:rsid w:val="009B6ED0"/>
    <w:rsid w:val="009E06EE"/>
    <w:rsid w:val="009E2175"/>
    <w:rsid w:val="00A03A1D"/>
    <w:rsid w:val="00A26A2E"/>
    <w:rsid w:val="00A37D84"/>
    <w:rsid w:val="00A443D1"/>
    <w:rsid w:val="00A80549"/>
    <w:rsid w:val="00AA1CE1"/>
    <w:rsid w:val="00AC4401"/>
    <w:rsid w:val="00AC4FFD"/>
    <w:rsid w:val="00AF32D5"/>
    <w:rsid w:val="00AF7059"/>
    <w:rsid w:val="00B00F14"/>
    <w:rsid w:val="00B02BE5"/>
    <w:rsid w:val="00B03661"/>
    <w:rsid w:val="00B0472C"/>
    <w:rsid w:val="00B06062"/>
    <w:rsid w:val="00B33397"/>
    <w:rsid w:val="00B45183"/>
    <w:rsid w:val="00B5633C"/>
    <w:rsid w:val="00B60783"/>
    <w:rsid w:val="00B61D82"/>
    <w:rsid w:val="00B93628"/>
    <w:rsid w:val="00B967F4"/>
    <w:rsid w:val="00BA19B5"/>
    <w:rsid w:val="00BA559E"/>
    <w:rsid w:val="00BB12D8"/>
    <w:rsid w:val="00BB3371"/>
    <w:rsid w:val="00BB7412"/>
    <w:rsid w:val="00BD2040"/>
    <w:rsid w:val="00C1636B"/>
    <w:rsid w:val="00C21740"/>
    <w:rsid w:val="00C51CD5"/>
    <w:rsid w:val="00C86AA6"/>
    <w:rsid w:val="00C900B6"/>
    <w:rsid w:val="00C95D5B"/>
    <w:rsid w:val="00C963E4"/>
    <w:rsid w:val="00CD730C"/>
    <w:rsid w:val="00CE74A3"/>
    <w:rsid w:val="00D07351"/>
    <w:rsid w:val="00D11A86"/>
    <w:rsid w:val="00D1445D"/>
    <w:rsid w:val="00D15CD5"/>
    <w:rsid w:val="00D2757B"/>
    <w:rsid w:val="00D5766F"/>
    <w:rsid w:val="00D8320D"/>
    <w:rsid w:val="00D8530C"/>
    <w:rsid w:val="00D902B8"/>
    <w:rsid w:val="00DA67C3"/>
    <w:rsid w:val="00DB2644"/>
    <w:rsid w:val="00DC27E9"/>
    <w:rsid w:val="00DD39D0"/>
    <w:rsid w:val="00DE6941"/>
    <w:rsid w:val="00DF11AF"/>
    <w:rsid w:val="00DF12F2"/>
    <w:rsid w:val="00DF3C4E"/>
    <w:rsid w:val="00E01724"/>
    <w:rsid w:val="00E23215"/>
    <w:rsid w:val="00E3537F"/>
    <w:rsid w:val="00E40FFC"/>
    <w:rsid w:val="00E4496A"/>
    <w:rsid w:val="00E4795E"/>
    <w:rsid w:val="00E55A7B"/>
    <w:rsid w:val="00E60DA6"/>
    <w:rsid w:val="00E73B8B"/>
    <w:rsid w:val="00E802D1"/>
    <w:rsid w:val="00EC6A3C"/>
    <w:rsid w:val="00ED05EF"/>
    <w:rsid w:val="00ED3232"/>
    <w:rsid w:val="00EF297F"/>
    <w:rsid w:val="00F05798"/>
    <w:rsid w:val="00F07C5F"/>
    <w:rsid w:val="00F27CF9"/>
    <w:rsid w:val="00F34EA0"/>
    <w:rsid w:val="00F37336"/>
    <w:rsid w:val="00F42C89"/>
    <w:rsid w:val="00F56BB3"/>
    <w:rsid w:val="00F60D1D"/>
    <w:rsid w:val="00F649BE"/>
    <w:rsid w:val="00F73703"/>
    <w:rsid w:val="00F73C25"/>
    <w:rsid w:val="00F9176F"/>
    <w:rsid w:val="00FA0DFE"/>
    <w:rsid w:val="00FB4241"/>
    <w:rsid w:val="00FC202A"/>
    <w:rsid w:val="00FC395F"/>
    <w:rsid w:val="00FC42AD"/>
    <w:rsid w:val="00FD5710"/>
    <w:rsid w:val="00FE24E9"/>
    <w:rsid w:val="00FF0083"/>
    <w:rsid w:val="00FF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F649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64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649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649B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F649BE"/>
    <w:rPr>
      <w:rFonts w:ascii="Tahoma" w:hAnsi="Tahoma" w:cs="Tahoma"/>
      <w:sz w:val="16"/>
      <w:szCs w:val="16"/>
    </w:rPr>
  </w:style>
  <w:style w:type="character" w:customStyle="1" w:styleId="BalloonTextChar">
    <w:name w:val="Balloon Text Char"/>
    <w:basedOn w:val="DefaultParagraphFont"/>
    <w:link w:val="BalloonText"/>
    <w:uiPriority w:val="99"/>
    <w:semiHidden/>
    <w:rsid w:val="00F649BE"/>
    <w:rPr>
      <w:rFonts w:ascii="Tahoma" w:eastAsia="Times New Roman" w:hAnsi="Tahoma" w:cs="Tahoma"/>
      <w:sz w:val="16"/>
      <w:szCs w:val="16"/>
    </w:rPr>
  </w:style>
  <w:style w:type="paragraph" w:styleId="FootnoteText">
    <w:name w:val="footnote text"/>
    <w:basedOn w:val="Normal"/>
    <w:link w:val="FootnoteTextChar"/>
    <w:rsid w:val="00C21740"/>
    <w:rPr>
      <w:sz w:val="20"/>
      <w:szCs w:val="20"/>
    </w:rPr>
  </w:style>
  <w:style w:type="character" w:customStyle="1" w:styleId="FootnoteTextChar">
    <w:name w:val="Footnote Text Char"/>
    <w:basedOn w:val="DefaultParagraphFont"/>
    <w:link w:val="FootnoteText"/>
    <w:rsid w:val="00C21740"/>
    <w:rPr>
      <w:rFonts w:ascii="Times New Roman" w:eastAsia="Times New Roman" w:hAnsi="Times New Roman" w:cs="Times New Roman"/>
      <w:sz w:val="20"/>
      <w:szCs w:val="20"/>
    </w:rPr>
  </w:style>
  <w:style w:type="character" w:styleId="FootnoteReference">
    <w:name w:val="footnote reference"/>
    <w:basedOn w:val="DefaultParagraphFont"/>
    <w:rsid w:val="00C21740"/>
    <w:rPr>
      <w:vertAlign w:val="superscript"/>
    </w:rPr>
  </w:style>
  <w:style w:type="paragraph" w:styleId="Header">
    <w:name w:val="header"/>
    <w:basedOn w:val="Normal"/>
    <w:link w:val="HeaderChar"/>
    <w:uiPriority w:val="99"/>
    <w:unhideWhenUsed/>
    <w:rsid w:val="00C21740"/>
    <w:pPr>
      <w:tabs>
        <w:tab w:val="center" w:pos="4680"/>
        <w:tab w:val="right" w:pos="9360"/>
      </w:tabs>
    </w:pPr>
  </w:style>
  <w:style w:type="character" w:customStyle="1" w:styleId="HeaderChar">
    <w:name w:val="Header Char"/>
    <w:basedOn w:val="DefaultParagraphFont"/>
    <w:link w:val="Header"/>
    <w:uiPriority w:val="99"/>
    <w:rsid w:val="00C217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1740"/>
    <w:pPr>
      <w:tabs>
        <w:tab w:val="center" w:pos="4680"/>
        <w:tab w:val="right" w:pos="9360"/>
      </w:tabs>
    </w:pPr>
  </w:style>
  <w:style w:type="character" w:customStyle="1" w:styleId="FooterChar">
    <w:name w:val="Footer Char"/>
    <w:basedOn w:val="DefaultParagraphFont"/>
    <w:link w:val="Footer"/>
    <w:uiPriority w:val="99"/>
    <w:rsid w:val="00C21740"/>
    <w:rPr>
      <w:rFonts w:ascii="Times New Roman" w:eastAsia="Times New Roman" w:hAnsi="Times New Roman" w:cs="Times New Roman"/>
      <w:sz w:val="24"/>
      <w:szCs w:val="24"/>
    </w:rPr>
  </w:style>
  <w:style w:type="paragraph" w:styleId="ListParagraph">
    <w:name w:val="List Paragraph"/>
    <w:basedOn w:val="Normal"/>
    <w:uiPriority w:val="34"/>
    <w:qFormat/>
    <w:rsid w:val="00B61D82"/>
    <w:pPr>
      <w:ind w:left="720"/>
      <w:contextualSpacing/>
    </w:pPr>
  </w:style>
  <w:style w:type="character" w:styleId="CommentReference">
    <w:name w:val="annotation reference"/>
    <w:basedOn w:val="DefaultParagraphFont"/>
    <w:uiPriority w:val="99"/>
    <w:semiHidden/>
    <w:unhideWhenUsed/>
    <w:rsid w:val="00180224"/>
    <w:rPr>
      <w:sz w:val="16"/>
      <w:szCs w:val="16"/>
    </w:rPr>
  </w:style>
  <w:style w:type="paragraph" w:styleId="CommentText">
    <w:name w:val="annotation text"/>
    <w:basedOn w:val="Normal"/>
    <w:link w:val="CommentTextChar"/>
    <w:uiPriority w:val="99"/>
    <w:semiHidden/>
    <w:unhideWhenUsed/>
    <w:rsid w:val="00180224"/>
    <w:rPr>
      <w:sz w:val="20"/>
      <w:szCs w:val="20"/>
    </w:rPr>
  </w:style>
  <w:style w:type="character" w:customStyle="1" w:styleId="CommentTextChar">
    <w:name w:val="Comment Text Char"/>
    <w:basedOn w:val="DefaultParagraphFont"/>
    <w:link w:val="CommentText"/>
    <w:uiPriority w:val="99"/>
    <w:semiHidden/>
    <w:rsid w:val="001802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0224"/>
    <w:rPr>
      <w:b/>
      <w:bCs/>
    </w:rPr>
  </w:style>
  <w:style w:type="character" w:customStyle="1" w:styleId="CommentSubjectChar">
    <w:name w:val="Comment Subject Char"/>
    <w:basedOn w:val="CommentTextChar"/>
    <w:link w:val="CommentSubject"/>
    <w:uiPriority w:val="99"/>
    <w:semiHidden/>
    <w:rsid w:val="0018022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F649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64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649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649B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F649BE"/>
    <w:rPr>
      <w:rFonts w:ascii="Tahoma" w:hAnsi="Tahoma" w:cs="Tahoma"/>
      <w:sz w:val="16"/>
      <w:szCs w:val="16"/>
    </w:rPr>
  </w:style>
  <w:style w:type="character" w:customStyle="1" w:styleId="BalloonTextChar">
    <w:name w:val="Balloon Text Char"/>
    <w:basedOn w:val="DefaultParagraphFont"/>
    <w:link w:val="BalloonText"/>
    <w:uiPriority w:val="99"/>
    <w:semiHidden/>
    <w:rsid w:val="00F649BE"/>
    <w:rPr>
      <w:rFonts w:ascii="Tahoma" w:eastAsia="Times New Roman" w:hAnsi="Tahoma" w:cs="Tahoma"/>
      <w:sz w:val="16"/>
      <w:szCs w:val="16"/>
    </w:rPr>
  </w:style>
  <w:style w:type="paragraph" w:styleId="FootnoteText">
    <w:name w:val="footnote text"/>
    <w:basedOn w:val="Normal"/>
    <w:link w:val="FootnoteTextChar"/>
    <w:rsid w:val="00C21740"/>
    <w:rPr>
      <w:sz w:val="20"/>
      <w:szCs w:val="20"/>
    </w:rPr>
  </w:style>
  <w:style w:type="character" w:customStyle="1" w:styleId="FootnoteTextChar">
    <w:name w:val="Footnote Text Char"/>
    <w:basedOn w:val="DefaultParagraphFont"/>
    <w:link w:val="FootnoteText"/>
    <w:rsid w:val="00C21740"/>
    <w:rPr>
      <w:rFonts w:ascii="Times New Roman" w:eastAsia="Times New Roman" w:hAnsi="Times New Roman" w:cs="Times New Roman"/>
      <w:sz w:val="20"/>
      <w:szCs w:val="20"/>
    </w:rPr>
  </w:style>
  <w:style w:type="character" w:styleId="FootnoteReference">
    <w:name w:val="footnote reference"/>
    <w:basedOn w:val="DefaultParagraphFont"/>
    <w:rsid w:val="00C21740"/>
    <w:rPr>
      <w:vertAlign w:val="superscript"/>
    </w:rPr>
  </w:style>
  <w:style w:type="paragraph" w:styleId="Header">
    <w:name w:val="header"/>
    <w:basedOn w:val="Normal"/>
    <w:link w:val="HeaderChar"/>
    <w:uiPriority w:val="99"/>
    <w:unhideWhenUsed/>
    <w:rsid w:val="00C21740"/>
    <w:pPr>
      <w:tabs>
        <w:tab w:val="center" w:pos="4680"/>
        <w:tab w:val="right" w:pos="9360"/>
      </w:tabs>
    </w:pPr>
  </w:style>
  <w:style w:type="character" w:customStyle="1" w:styleId="HeaderChar">
    <w:name w:val="Header Char"/>
    <w:basedOn w:val="DefaultParagraphFont"/>
    <w:link w:val="Header"/>
    <w:uiPriority w:val="99"/>
    <w:rsid w:val="00C217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1740"/>
    <w:pPr>
      <w:tabs>
        <w:tab w:val="center" w:pos="4680"/>
        <w:tab w:val="right" w:pos="9360"/>
      </w:tabs>
    </w:pPr>
  </w:style>
  <w:style w:type="character" w:customStyle="1" w:styleId="FooterChar">
    <w:name w:val="Footer Char"/>
    <w:basedOn w:val="DefaultParagraphFont"/>
    <w:link w:val="Footer"/>
    <w:uiPriority w:val="99"/>
    <w:rsid w:val="00C21740"/>
    <w:rPr>
      <w:rFonts w:ascii="Times New Roman" w:eastAsia="Times New Roman" w:hAnsi="Times New Roman" w:cs="Times New Roman"/>
      <w:sz w:val="24"/>
      <w:szCs w:val="24"/>
    </w:rPr>
  </w:style>
  <w:style w:type="paragraph" w:styleId="ListParagraph">
    <w:name w:val="List Paragraph"/>
    <w:basedOn w:val="Normal"/>
    <w:uiPriority w:val="34"/>
    <w:qFormat/>
    <w:rsid w:val="00B61D82"/>
    <w:pPr>
      <w:ind w:left="720"/>
      <w:contextualSpacing/>
    </w:pPr>
  </w:style>
  <w:style w:type="character" w:styleId="CommentReference">
    <w:name w:val="annotation reference"/>
    <w:basedOn w:val="DefaultParagraphFont"/>
    <w:uiPriority w:val="99"/>
    <w:semiHidden/>
    <w:unhideWhenUsed/>
    <w:rsid w:val="00180224"/>
    <w:rPr>
      <w:sz w:val="16"/>
      <w:szCs w:val="16"/>
    </w:rPr>
  </w:style>
  <w:style w:type="paragraph" w:styleId="CommentText">
    <w:name w:val="annotation text"/>
    <w:basedOn w:val="Normal"/>
    <w:link w:val="CommentTextChar"/>
    <w:uiPriority w:val="99"/>
    <w:semiHidden/>
    <w:unhideWhenUsed/>
    <w:rsid w:val="00180224"/>
    <w:rPr>
      <w:sz w:val="20"/>
      <w:szCs w:val="20"/>
    </w:rPr>
  </w:style>
  <w:style w:type="character" w:customStyle="1" w:styleId="CommentTextChar">
    <w:name w:val="Comment Text Char"/>
    <w:basedOn w:val="DefaultParagraphFont"/>
    <w:link w:val="CommentText"/>
    <w:uiPriority w:val="99"/>
    <w:semiHidden/>
    <w:rsid w:val="001802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0224"/>
    <w:rPr>
      <w:b/>
      <w:bCs/>
    </w:rPr>
  </w:style>
  <w:style w:type="character" w:customStyle="1" w:styleId="CommentSubjectChar">
    <w:name w:val="Comment Subject Char"/>
    <w:basedOn w:val="CommentTextChar"/>
    <w:link w:val="CommentSubject"/>
    <w:uiPriority w:val="99"/>
    <w:semiHidden/>
    <w:rsid w:val="0018022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Ryan</dc:creator>
  <cp:lastModifiedBy>Lavin, Jennifer (DWD)</cp:lastModifiedBy>
  <cp:revision>7</cp:revision>
  <cp:lastPrinted>2014-04-25T19:50:00Z</cp:lastPrinted>
  <dcterms:created xsi:type="dcterms:W3CDTF">2014-04-25T19:50:00Z</dcterms:created>
  <dcterms:modified xsi:type="dcterms:W3CDTF">2014-04-28T15:04:00Z</dcterms:modified>
</cp:coreProperties>
</file>