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D4" w:rsidRPr="0027386F" w:rsidRDefault="007577D4" w:rsidP="007577D4">
      <w:pPr>
        <w:tabs>
          <w:tab w:val="left" w:pos="-1080"/>
          <w:tab w:val="left" w:pos="-720"/>
          <w:tab w:val="left" w:pos="0"/>
          <w:tab w:val="left" w:pos="720"/>
          <w:tab w:val="left" w:pos="5760"/>
          <w:tab w:val="left" w:pos="7920"/>
        </w:tabs>
        <w:ind w:left="720" w:right="450"/>
        <w:jc w:val="both"/>
        <w:rPr>
          <w:b/>
        </w:rPr>
      </w:pPr>
      <w:r w:rsidRPr="0027386F">
        <w:rPr>
          <w:b/>
        </w:rPr>
        <w:t xml:space="preserve">Where claimant resigned from her subsidiary job </w:t>
      </w:r>
      <w:r>
        <w:rPr>
          <w:b/>
        </w:rPr>
        <w:t>with the employer</w:t>
      </w:r>
      <w:r w:rsidRPr="0027386F">
        <w:rPr>
          <w:b/>
        </w:rPr>
        <w:t xml:space="preserve"> and had no knowledge that she would later be laid off by </w:t>
      </w:r>
      <w:r>
        <w:rPr>
          <w:b/>
        </w:rPr>
        <w:t>her</w:t>
      </w:r>
      <w:r w:rsidRPr="0027386F">
        <w:rPr>
          <w:b/>
        </w:rPr>
        <w:t xml:space="preserve"> primary employer, she was not disqualified nor subject to a constructive deduction.</w:t>
      </w:r>
    </w:p>
    <w:p w:rsidR="007577D4" w:rsidRDefault="007577D4" w:rsidP="0027386F">
      <w:pPr>
        <w:jc w:val="both"/>
        <w:rPr>
          <w:b/>
        </w:rPr>
      </w:pPr>
    </w:p>
    <w:p w:rsidR="0027386F" w:rsidRPr="0027386F" w:rsidRDefault="0027386F" w:rsidP="0027386F">
      <w:pPr>
        <w:jc w:val="both"/>
        <w:rPr>
          <w:b/>
        </w:rPr>
      </w:pPr>
      <w:r w:rsidRPr="0027386F">
        <w:rPr>
          <w:b/>
        </w:rPr>
        <w:t>Board of Review</w:t>
      </w:r>
      <w:r w:rsidRPr="0027386F">
        <w:rPr>
          <w:b/>
        </w:rPr>
        <w:tab/>
      </w:r>
      <w:r w:rsidRPr="0027386F">
        <w:rPr>
          <w:b/>
        </w:rPr>
        <w:tab/>
      </w:r>
      <w:r w:rsidRPr="0027386F">
        <w:rPr>
          <w:b/>
        </w:rPr>
        <w:tab/>
      </w:r>
      <w:r w:rsidRPr="0027386F">
        <w:rPr>
          <w:b/>
        </w:rPr>
        <w:tab/>
      </w:r>
      <w:r w:rsidRPr="0027386F">
        <w:rPr>
          <w:b/>
        </w:rPr>
        <w:tab/>
      </w:r>
      <w:r w:rsidRPr="0027386F">
        <w:rPr>
          <w:b/>
        </w:rPr>
        <w:tab/>
      </w:r>
      <w:r w:rsidRPr="0027386F">
        <w:rPr>
          <w:b/>
        </w:rPr>
        <w:tab/>
        <w:t xml:space="preserve">       Paul T. Fitzgerald, Esq.</w:t>
      </w:r>
      <w:r w:rsidRPr="0027386F">
        <w:rPr>
          <w:b/>
        </w:rPr>
        <w:br/>
        <w:t xml:space="preserve">19 </w:t>
      </w:r>
      <w:proofErr w:type="spellStart"/>
      <w:r w:rsidRPr="0027386F">
        <w:rPr>
          <w:b/>
        </w:rPr>
        <w:t>Staniford</w:t>
      </w:r>
      <w:proofErr w:type="spellEnd"/>
      <w:r w:rsidRPr="0027386F">
        <w:rPr>
          <w:b/>
        </w:rPr>
        <w:t xml:space="preserve"> St., 4</w:t>
      </w:r>
      <w:r w:rsidRPr="0027386F">
        <w:rPr>
          <w:b/>
          <w:vertAlign w:val="superscript"/>
        </w:rPr>
        <w:t>th</w:t>
      </w:r>
      <w:r w:rsidRPr="0027386F">
        <w:rPr>
          <w:b/>
        </w:rPr>
        <w:t xml:space="preserve"> Floor</w:t>
      </w:r>
      <w:r w:rsidRPr="0027386F">
        <w:rPr>
          <w:b/>
        </w:rPr>
        <w:tab/>
      </w:r>
      <w:r w:rsidRPr="0027386F">
        <w:rPr>
          <w:b/>
        </w:rPr>
        <w:tab/>
      </w:r>
      <w:r w:rsidRPr="0027386F">
        <w:rPr>
          <w:b/>
        </w:rPr>
        <w:tab/>
      </w:r>
      <w:r w:rsidRPr="0027386F">
        <w:rPr>
          <w:b/>
        </w:rPr>
        <w:tab/>
      </w:r>
      <w:r w:rsidRPr="0027386F">
        <w:rPr>
          <w:b/>
        </w:rPr>
        <w:tab/>
      </w:r>
      <w:r w:rsidRPr="0027386F">
        <w:rPr>
          <w:b/>
        </w:rPr>
        <w:tab/>
      </w:r>
      <w:r w:rsidRPr="0027386F">
        <w:rPr>
          <w:b/>
        </w:rPr>
        <w:tab/>
      </w:r>
      <w:r w:rsidRPr="0027386F">
        <w:rPr>
          <w:b/>
        </w:rPr>
        <w:tab/>
        <w:t xml:space="preserve">      Chairman</w:t>
      </w:r>
      <w:r w:rsidRPr="0027386F">
        <w:rPr>
          <w:b/>
        </w:rPr>
        <w:br/>
        <w:t>Boston, MA 02114</w:t>
      </w:r>
      <w:r w:rsidRPr="0027386F">
        <w:rPr>
          <w:b/>
        </w:rPr>
        <w:tab/>
      </w:r>
      <w:r w:rsidRPr="0027386F">
        <w:rPr>
          <w:b/>
        </w:rPr>
        <w:tab/>
      </w:r>
      <w:r w:rsidRPr="0027386F">
        <w:rPr>
          <w:b/>
        </w:rPr>
        <w:tab/>
      </w:r>
      <w:r w:rsidRPr="0027386F">
        <w:rPr>
          <w:b/>
        </w:rPr>
        <w:tab/>
      </w:r>
      <w:r w:rsidRPr="0027386F">
        <w:rPr>
          <w:b/>
        </w:rPr>
        <w:tab/>
      </w:r>
      <w:r w:rsidRPr="0027386F">
        <w:rPr>
          <w:b/>
        </w:rPr>
        <w:tab/>
      </w:r>
      <w:r w:rsidRPr="0027386F">
        <w:rPr>
          <w:b/>
        </w:rPr>
        <w:tab/>
        <w:t xml:space="preserve">     Stephen M. Linsky, Esq.</w:t>
      </w:r>
      <w:r w:rsidRPr="0027386F">
        <w:rPr>
          <w:b/>
        </w:rPr>
        <w:br/>
        <w:t>Phone: 617-626-6400</w:t>
      </w:r>
      <w:r w:rsidRPr="0027386F">
        <w:rPr>
          <w:b/>
        </w:rPr>
        <w:tab/>
      </w:r>
      <w:r w:rsidRPr="0027386F">
        <w:rPr>
          <w:b/>
        </w:rPr>
        <w:tab/>
      </w:r>
      <w:r w:rsidRPr="0027386F">
        <w:rPr>
          <w:b/>
        </w:rPr>
        <w:tab/>
      </w:r>
      <w:r w:rsidRPr="0027386F">
        <w:rPr>
          <w:b/>
        </w:rPr>
        <w:tab/>
      </w:r>
      <w:r w:rsidRPr="0027386F">
        <w:rPr>
          <w:b/>
        </w:rPr>
        <w:tab/>
      </w:r>
      <w:r w:rsidRPr="0027386F">
        <w:rPr>
          <w:b/>
        </w:rPr>
        <w:tab/>
      </w:r>
      <w:r w:rsidRPr="0027386F">
        <w:rPr>
          <w:b/>
        </w:rPr>
        <w:tab/>
      </w:r>
      <w:r w:rsidRPr="0027386F">
        <w:rPr>
          <w:b/>
        </w:rPr>
        <w:tab/>
      </w:r>
      <w:r w:rsidRPr="0027386F">
        <w:rPr>
          <w:b/>
        </w:rPr>
        <w:tab/>
        <w:t xml:space="preserve">         Member</w:t>
      </w:r>
      <w:r w:rsidRPr="0027386F">
        <w:rPr>
          <w:b/>
        </w:rPr>
        <w:br/>
        <w:t>Fax: 617-727-5874</w:t>
      </w:r>
      <w:r w:rsidRPr="0027386F">
        <w:rPr>
          <w:b/>
        </w:rPr>
        <w:tab/>
      </w:r>
      <w:r w:rsidRPr="0027386F">
        <w:rPr>
          <w:b/>
        </w:rPr>
        <w:tab/>
      </w:r>
      <w:r w:rsidRPr="0027386F">
        <w:rPr>
          <w:b/>
        </w:rPr>
        <w:tab/>
      </w:r>
      <w:r w:rsidRPr="0027386F">
        <w:rPr>
          <w:b/>
        </w:rPr>
        <w:tab/>
      </w:r>
      <w:r w:rsidRPr="0027386F">
        <w:rPr>
          <w:b/>
        </w:rPr>
        <w:tab/>
      </w:r>
      <w:r w:rsidRPr="0027386F">
        <w:rPr>
          <w:b/>
        </w:rPr>
        <w:tab/>
      </w:r>
      <w:r w:rsidRPr="0027386F">
        <w:rPr>
          <w:b/>
        </w:rPr>
        <w:tab/>
        <w:t xml:space="preserve">   Judith M. Neumann, Esq.</w:t>
      </w:r>
      <w:r w:rsidRPr="0027386F">
        <w:rPr>
          <w:b/>
        </w:rPr>
        <w:br/>
      </w:r>
      <w:r w:rsidRPr="0027386F">
        <w:rPr>
          <w:b/>
        </w:rPr>
        <w:tab/>
      </w:r>
      <w:r w:rsidRPr="0027386F">
        <w:rPr>
          <w:b/>
        </w:rPr>
        <w:tab/>
      </w:r>
      <w:r w:rsidRPr="0027386F">
        <w:rPr>
          <w:b/>
        </w:rPr>
        <w:tab/>
      </w:r>
      <w:r w:rsidRPr="0027386F">
        <w:rPr>
          <w:b/>
        </w:rPr>
        <w:tab/>
      </w:r>
      <w:r w:rsidRPr="0027386F">
        <w:rPr>
          <w:b/>
        </w:rPr>
        <w:tab/>
      </w:r>
      <w:r w:rsidRPr="0027386F">
        <w:rPr>
          <w:b/>
        </w:rPr>
        <w:tab/>
      </w:r>
      <w:r w:rsidRPr="0027386F">
        <w:rPr>
          <w:b/>
        </w:rPr>
        <w:tab/>
      </w:r>
      <w:r w:rsidRPr="0027386F">
        <w:rPr>
          <w:b/>
        </w:rPr>
        <w:tab/>
      </w:r>
      <w:r w:rsidRPr="0027386F">
        <w:rPr>
          <w:b/>
        </w:rPr>
        <w:tab/>
      </w:r>
      <w:r w:rsidRPr="0027386F">
        <w:rPr>
          <w:b/>
        </w:rPr>
        <w:tab/>
      </w:r>
      <w:r w:rsidRPr="0027386F">
        <w:rPr>
          <w:b/>
        </w:rPr>
        <w:tab/>
        <w:t xml:space="preserve">         Member</w:t>
      </w:r>
    </w:p>
    <w:p w:rsidR="0027386F" w:rsidRPr="0027386F" w:rsidRDefault="0027386F" w:rsidP="0027386F">
      <w:pPr>
        <w:jc w:val="both"/>
        <w:rPr>
          <w:b/>
        </w:rPr>
      </w:pPr>
      <w:r w:rsidRPr="0027386F">
        <w:rPr>
          <w:b/>
        </w:rPr>
        <w:t xml:space="preserve">Issue ID: </w:t>
      </w:r>
      <w:bookmarkStart w:id="0" w:name="_GoBack"/>
      <w:r w:rsidRPr="0027386F">
        <w:rPr>
          <w:b/>
        </w:rPr>
        <w:t>0015 6369 62</w:t>
      </w:r>
      <w:bookmarkEnd w:id="0"/>
    </w:p>
    <w:p w:rsidR="0027386F" w:rsidRPr="0027386F" w:rsidRDefault="0027386F" w:rsidP="0027386F">
      <w:pPr>
        <w:jc w:val="center"/>
        <w:rPr>
          <w:b/>
          <w:sz w:val="32"/>
          <w:szCs w:val="32"/>
          <w:u w:val="single"/>
        </w:rPr>
      </w:pPr>
      <w:r w:rsidRPr="0027386F">
        <w:rPr>
          <w:b/>
          <w:sz w:val="32"/>
          <w:szCs w:val="32"/>
          <w:u w:val="single"/>
        </w:rPr>
        <w:t>BOARD OF REVIEW DECISION</w:t>
      </w:r>
    </w:p>
    <w:p w:rsidR="0011207D" w:rsidRPr="0027386F" w:rsidRDefault="0011207D" w:rsidP="0027386F">
      <w:pPr>
        <w:rPr>
          <w:u w:val="single"/>
        </w:rPr>
      </w:pPr>
    </w:p>
    <w:p w:rsidR="00C9452C" w:rsidRPr="0027386F" w:rsidRDefault="00C9452C" w:rsidP="0027386F">
      <w:pPr>
        <w:jc w:val="both"/>
        <w:rPr>
          <w:u w:val="single"/>
        </w:rPr>
      </w:pPr>
      <w:r w:rsidRPr="0027386F">
        <w:rPr>
          <w:u w:val="single"/>
        </w:rPr>
        <w:t xml:space="preserve">Introduction and Procedural History of this Appeal </w:t>
      </w:r>
    </w:p>
    <w:p w:rsidR="00C9452C" w:rsidRPr="0027386F" w:rsidRDefault="00C9452C" w:rsidP="0027386F">
      <w:pPr>
        <w:jc w:val="both"/>
        <w:rPr>
          <w:u w:val="single"/>
        </w:rPr>
      </w:pPr>
    </w:p>
    <w:p w:rsidR="00C9452C" w:rsidRPr="0027386F" w:rsidRDefault="00121B0F" w:rsidP="0027386F">
      <w:pPr>
        <w:jc w:val="both"/>
      </w:pPr>
      <w:r w:rsidRPr="0027386F">
        <w:t xml:space="preserve">The </w:t>
      </w:r>
      <w:r w:rsidR="005A2973" w:rsidRPr="0027386F">
        <w:t>claimant</w:t>
      </w:r>
      <w:r w:rsidR="00AD2852" w:rsidRPr="0027386F">
        <w:t xml:space="preserve"> appeals a decision by</w:t>
      </w:r>
      <w:r w:rsidRPr="0027386F">
        <w:t xml:space="preserve"> </w:t>
      </w:r>
      <w:r w:rsidR="001E27F1" w:rsidRPr="0027386F">
        <w:t xml:space="preserve">J. I. </w:t>
      </w:r>
      <w:proofErr w:type="spellStart"/>
      <w:r w:rsidR="001E27F1" w:rsidRPr="0027386F">
        <w:t>Cofer</w:t>
      </w:r>
      <w:proofErr w:type="spellEnd"/>
      <w:r w:rsidR="001E27F1" w:rsidRPr="0027386F">
        <w:t>,</w:t>
      </w:r>
      <w:r w:rsidR="00324CF8" w:rsidRPr="0027386F">
        <w:t xml:space="preserve"> </w:t>
      </w:r>
      <w:r w:rsidR="00AD2852" w:rsidRPr="0027386F">
        <w:t>a review examiner of the D</w:t>
      </w:r>
      <w:r w:rsidR="0066127F" w:rsidRPr="0027386F">
        <w:t>epartment</w:t>
      </w:r>
      <w:r w:rsidR="00AD2852" w:rsidRPr="0027386F">
        <w:t xml:space="preserve"> of Unemployment Assistance (DUA)</w:t>
      </w:r>
      <w:r w:rsidR="00C07DAC" w:rsidRPr="0027386F">
        <w:t>,</w:t>
      </w:r>
      <w:r w:rsidR="00AD2852" w:rsidRPr="0027386F">
        <w:t xml:space="preserve"> to </w:t>
      </w:r>
      <w:r w:rsidRPr="0027386F">
        <w:t xml:space="preserve">deny </w:t>
      </w:r>
      <w:r w:rsidR="00373AC0" w:rsidRPr="0027386F">
        <w:t>unemployment benefits</w:t>
      </w:r>
      <w:r w:rsidR="00AD2852" w:rsidRPr="0027386F">
        <w:t>.</w:t>
      </w:r>
      <w:r w:rsidR="00373AC0" w:rsidRPr="0027386F">
        <w:t xml:space="preserve">  </w:t>
      </w:r>
      <w:r w:rsidR="00C9452C" w:rsidRPr="0027386F">
        <w:t>We review</w:t>
      </w:r>
      <w:r w:rsidR="00324CF8" w:rsidRPr="0027386F">
        <w:t>,</w:t>
      </w:r>
      <w:r w:rsidR="00C9452C" w:rsidRPr="0027386F">
        <w:t xml:space="preserve"> pursuant to our authority und</w:t>
      </w:r>
      <w:r w:rsidRPr="0027386F">
        <w:t>er G.L. c. 151A, § 41, and reverse</w:t>
      </w:r>
      <w:r w:rsidR="001E27F1" w:rsidRPr="0027386F">
        <w:t>.</w:t>
      </w:r>
      <w:r w:rsidR="00155CA4" w:rsidRPr="0027386F">
        <w:t xml:space="preserve"> </w:t>
      </w:r>
      <w:r w:rsidR="00C9452C" w:rsidRPr="0027386F">
        <w:t xml:space="preserve"> </w:t>
      </w:r>
    </w:p>
    <w:p w:rsidR="00C9452C" w:rsidRPr="0027386F" w:rsidRDefault="00C9452C" w:rsidP="0027386F">
      <w:pPr>
        <w:jc w:val="both"/>
      </w:pPr>
    </w:p>
    <w:p w:rsidR="00DE58F5" w:rsidRPr="0027386F" w:rsidRDefault="005A2973" w:rsidP="0027386F">
      <w:pPr>
        <w:jc w:val="both"/>
      </w:pPr>
      <w:r w:rsidRPr="0027386F">
        <w:t>The cla</w:t>
      </w:r>
      <w:r w:rsidR="00121B0F" w:rsidRPr="0027386F">
        <w:t xml:space="preserve">imant </w:t>
      </w:r>
      <w:r w:rsidR="001E27F1" w:rsidRPr="0027386F">
        <w:t xml:space="preserve">resigned from </w:t>
      </w:r>
      <w:r w:rsidR="00121B0F" w:rsidRPr="0027386F">
        <w:t>her</w:t>
      </w:r>
      <w:r w:rsidRPr="0027386F">
        <w:t xml:space="preserve"> position with the employer on </w:t>
      </w:r>
      <w:r w:rsidR="001E27F1" w:rsidRPr="0027386F">
        <w:t xml:space="preserve">January 9, 2015. </w:t>
      </w:r>
      <w:r w:rsidR="00EA1404">
        <w:t xml:space="preserve"> </w:t>
      </w:r>
      <w:r w:rsidR="001E27F1" w:rsidRPr="0027386F">
        <w:t>S</w:t>
      </w:r>
      <w:r w:rsidR="00121B0F" w:rsidRPr="0027386F">
        <w:t>he</w:t>
      </w:r>
      <w:r w:rsidRPr="0027386F">
        <w:t xml:space="preserve"> filed a claim for unemployment benefits with the DUA</w:t>
      </w:r>
      <w:r w:rsidR="00F34B53" w:rsidRPr="0027386F">
        <w:t>, which</w:t>
      </w:r>
      <w:r w:rsidR="00121B0F" w:rsidRPr="0027386F">
        <w:t xml:space="preserve"> was denied </w:t>
      </w:r>
      <w:r w:rsidRPr="0027386F">
        <w:t xml:space="preserve">in a determination issued on </w:t>
      </w:r>
      <w:r w:rsidR="001E27F1" w:rsidRPr="0027386F">
        <w:t xml:space="preserve"> </w:t>
      </w:r>
      <w:r w:rsidR="00121B0F" w:rsidRPr="0027386F">
        <w:t xml:space="preserve"> </w:t>
      </w:r>
      <w:r w:rsidR="001E27F1" w:rsidRPr="0027386F">
        <w:t>March 20, 2015.  The claimant</w:t>
      </w:r>
      <w:r w:rsidRPr="0027386F">
        <w:t xml:space="preserve"> appealed the determination to the DUA hearings department.  Following a h</w:t>
      </w:r>
      <w:r w:rsidR="00121B0F" w:rsidRPr="0027386F">
        <w:t xml:space="preserve">earing on the merits, attended </w:t>
      </w:r>
      <w:r w:rsidRPr="0027386F">
        <w:t>by both parties</w:t>
      </w:r>
      <w:r w:rsidR="001E27F1" w:rsidRPr="0027386F">
        <w:t xml:space="preserve">, </w:t>
      </w:r>
      <w:r w:rsidR="00121B0F" w:rsidRPr="0027386F">
        <w:t>the rev</w:t>
      </w:r>
      <w:r w:rsidR="001E27F1" w:rsidRPr="0027386F">
        <w:t xml:space="preserve">iew examiner affirmed </w:t>
      </w:r>
      <w:r w:rsidR="00DE58F5" w:rsidRPr="0027386F">
        <w:t>the agen</w:t>
      </w:r>
      <w:r w:rsidR="00121B0F" w:rsidRPr="0027386F">
        <w:t>cy’s in</w:t>
      </w:r>
      <w:r w:rsidR="001E27F1" w:rsidRPr="0027386F">
        <w:t xml:space="preserve">itial determination and </w:t>
      </w:r>
      <w:r w:rsidR="00121B0F" w:rsidRPr="0027386F">
        <w:t>denied</w:t>
      </w:r>
      <w:r w:rsidR="00DE58F5" w:rsidRPr="0027386F">
        <w:t xml:space="preserve"> benefits in a decision rendered on </w:t>
      </w:r>
      <w:r w:rsidR="00492E4E" w:rsidRPr="0027386F">
        <w:t>April 17, 2015</w:t>
      </w:r>
      <w:r w:rsidR="00121B0F" w:rsidRPr="0027386F">
        <w:t>.   We ac</w:t>
      </w:r>
      <w:r w:rsidR="00492E4E" w:rsidRPr="0027386F">
        <w:t xml:space="preserve">cepted the claimant’s </w:t>
      </w:r>
      <w:r w:rsidR="00D9127C" w:rsidRPr="0027386F">
        <w:t>application for review.</w:t>
      </w:r>
    </w:p>
    <w:p w:rsidR="00D9127C" w:rsidRPr="0027386F" w:rsidRDefault="00D9127C" w:rsidP="0027386F">
      <w:pPr>
        <w:jc w:val="both"/>
      </w:pPr>
    </w:p>
    <w:p w:rsidR="00A97F00" w:rsidRDefault="00492E4E" w:rsidP="0027386F">
      <w:pPr>
        <w:jc w:val="both"/>
      </w:pPr>
      <w:r w:rsidRPr="0027386F">
        <w:t xml:space="preserve">Benefits were </w:t>
      </w:r>
      <w:r w:rsidR="00121B0F" w:rsidRPr="0027386F">
        <w:t>denied</w:t>
      </w:r>
      <w:r w:rsidR="00DE58F5" w:rsidRPr="0027386F">
        <w:t xml:space="preserve"> after the review examine</w:t>
      </w:r>
      <w:r w:rsidR="003763BE" w:rsidRPr="0027386F">
        <w:t xml:space="preserve">r determined that the claimant </w:t>
      </w:r>
      <w:r w:rsidR="0090464B" w:rsidRPr="0027386F">
        <w:t>v</w:t>
      </w:r>
      <w:r w:rsidR="00121B0F" w:rsidRPr="0027386F">
        <w:t xml:space="preserve">oluntarily left employment </w:t>
      </w:r>
      <w:r w:rsidRPr="0027386F">
        <w:t>without</w:t>
      </w:r>
      <w:r w:rsidR="00121B0F" w:rsidRPr="0027386F">
        <w:t xml:space="preserve"> </w:t>
      </w:r>
      <w:r w:rsidR="0090464B" w:rsidRPr="0027386F">
        <w:t>good cau</w:t>
      </w:r>
      <w:r w:rsidR="00576F99" w:rsidRPr="0027386F">
        <w:t>se attributable to the employer</w:t>
      </w:r>
      <w:r w:rsidRPr="0027386F">
        <w:t>,</w:t>
      </w:r>
      <w:r w:rsidR="0090464B" w:rsidRPr="0027386F">
        <w:t xml:space="preserve"> </w:t>
      </w:r>
      <w:r w:rsidRPr="0027386F">
        <w:t xml:space="preserve">and thus, was </w:t>
      </w:r>
      <w:r w:rsidR="003763BE" w:rsidRPr="0027386F">
        <w:t xml:space="preserve">disqualified </w:t>
      </w:r>
      <w:r w:rsidR="00121B0F" w:rsidRPr="0027386F">
        <w:t xml:space="preserve">under G.L. c. 151A, § </w:t>
      </w:r>
      <w:r w:rsidRPr="0027386F">
        <w:t>25(e</w:t>
      </w:r>
      <w:proofErr w:type="gramStart"/>
      <w:r w:rsidRPr="0027386F">
        <w:t>)(</w:t>
      </w:r>
      <w:proofErr w:type="gramEnd"/>
      <w:r w:rsidRPr="0027386F">
        <w:t xml:space="preserve">1). </w:t>
      </w:r>
      <w:r w:rsidR="00121B0F" w:rsidRPr="0027386F">
        <w:t xml:space="preserve"> </w:t>
      </w:r>
      <w:r w:rsidR="00DE58F5" w:rsidRPr="0027386F">
        <w:t xml:space="preserve">After considering the recorded testimony and evidence from the hearing, the review examiner’s decision, and the </w:t>
      </w:r>
      <w:r w:rsidR="00121B0F" w:rsidRPr="0027386F">
        <w:t>claimant’s</w:t>
      </w:r>
      <w:r w:rsidR="00DE58F5" w:rsidRPr="0027386F">
        <w:t xml:space="preserve"> a</w:t>
      </w:r>
      <w:r w:rsidR="0087391B" w:rsidRPr="0027386F">
        <w:t xml:space="preserve">ppeal, we </w:t>
      </w:r>
      <w:r w:rsidR="00576F99" w:rsidRPr="0027386F">
        <w:t>afforded the parties an opportunity to submit written reasons for agreeing or d</w:t>
      </w:r>
      <w:r w:rsidR="00121B0F" w:rsidRPr="0027386F">
        <w:t xml:space="preserve">isagreeing with the decision.  </w:t>
      </w:r>
      <w:r w:rsidR="00576F99" w:rsidRPr="0027386F">
        <w:t>Neither party</w:t>
      </w:r>
      <w:r w:rsidR="00121B0F" w:rsidRPr="0027386F">
        <w:t xml:space="preserve"> responded</w:t>
      </w:r>
      <w:r w:rsidRPr="0027386F">
        <w:t>.</w:t>
      </w:r>
      <w:r w:rsidR="00EA1404">
        <w:t xml:space="preserve"> </w:t>
      </w:r>
      <w:r w:rsidR="00121B0F" w:rsidRPr="0027386F">
        <w:t xml:space="preserve"> </w:t>
      </w:r>
      <w:r w:rsidR="00DE58F5" w:rsidRPr="0027386F">
        <w:t xml:space="preserve">Our decision is based upon </w:t>
      </w:r>
      <w:r w:rsidR="00545EAB" w:rsidRPr="0027386F">
        <w:t xml:space="preserve">our review of </w:t>
      </w:r>
      <w:r w:rsidR="00DE58F5" w:rsidRPr="0027386F">
        <w:t>the entire record</w:t>
      </w:r>
      <w:r w:rsidR="00EA1404">
        <w:t>.</w:t>
      </w:r>
      <w:r w:rsidR="00EA1404" w:rsidRPr="0027386F" w:rsidDel="00EA1404">
        <w:t xml:space="preserve"> </w:t>
      </w:r>
    </w:p>
    <w:p w:rsidR="00155CA4" w:rsidRPr="0027386F" w:rsidRDefault="00155CA4" w:rsidP="0027386F">
      <w:pPr>
        <w:jc w:val="both"/>
      </w:pPr>
    </w:p>
    <w:p w:rsidR="00C9452C" w:rsidRPr="0027386F" w:rsidRDefault="001F7935" w:rsidP="0027386F">
      <w:pPr>
        <w:jc w:val="both"/>
      </w:pPr>
      <w:r w:rsidRPr="0027386F">
        <w:t xml:space="preserve">The issue </w:t>
      </w:r>
      <w:r w:rsidR="002E1C39" w:rsidRPr="0027386F">
        <w:t>before the Board</w:t>
      </w:r>
      <w:r w:rsidRPr="0027386F">
        <w:t xml:space="preserve"> is </w:t>
      </w:r>
      <w:r w:rsidR="001C3D0C" w:rsidRPr="0027386F">
        <w:t xml:space="preserve">whether the review examiner’s conclusion that </w:t>
      </w:r>
      <w:r w:rsidR="00492E4E" w:rsidRPr="0027386F">
        <w:t xml:space="preserve">the claimant </w:t>
      </w:r>
      <w:r w:rsidR="00600CA1" w:rsidRPr="0027386F">
        <w:t xml:space="preserve">was subject to </w:t>
      </w:r>
      <w:r w:rsidR="0079323E" w:rsidRPr="0027386F">
        <w:t xml:space="preserve">a </w:t>
      </w:r>
      <w:r w:rsidR="00600CA1" w:rsidRPr="0027386F">
        <w:t>disqualification</w:t>
      </w:r>
      <w:r w:rsidR="0079323E" w:rsidRPr="0027386F">
        <w:t xml:space="preserve"> for voluntarily quitting her job</w:t>
      </w:r>
      <w:r w:rsidR="001C3D0C" w:rsidRPr="0027386F">
        <w:t xml:space="preserve"> is supported by substantial and credible evidence and is free from error of law</w:t>
      </w:r>
      <w:r w:rsidR="00657069" w:rsidRPr="0027386F">
        <w:t>, where the claimant</w:t>
      </w:r>
      <w:r w:rsidR="0079323E" w:rsidRPr="0027386F">
        <w:t xml:space="preserve">’s job with the instant employer was subsidiary part-time employment from which the claimant separated prior to being </w:t>
      </w:r>
      <w:r w:rsidR="00600CA1" w:rsidRPr="0027386F">
        <w:t xml:space="preserve">laid off from </w:t>
      </w:r>
      <w:r w:rsidR="0079323E" w:rsidRPr="0027386F">
        <w:t xml:space="preserve">her </w:t>
      </w:r>
      <w:r w:rsidR="00600CA1" w:rsidRPr="0027386F">
        <w:t>primary employer</w:t>
      </w:r>
      <w:r w:rsidR="0079323E" w:rsidRPr="0027386F">
        <w:t>.</w:t>
      </w:r>
    </w:p>
    <w:p w:rsidR="001F7935" w:rsidRPr="0027386F" w:rsidRDefault="001F7935" w:rsidP="0027386F">
      <w:pPr>
        <w:jc w:val="both"/>
      </w:pPr>
    </w:p>
    <w:p w:rsidR="00C9452C" w:rsidRPr="0027386F" w:rsidRDefault="00C9452C" w:rsidP="0027386F">
      <w:pPr>
        <w:jc w:val="both"/>
      </w:pPr>
      <w:r w:rsidRPr="0027386F">
        <w:rPr>
          <w:u w:val="single"/>
        </w:rPr>
        <w:t>Findings of Fact</w:t>
      </w:r>
    </w:p>
    <w:p w:rsidR="00C9452C" w:rsidRPr="0027386F" w:rsidRDefault="00C9452C" w:rsidP="0027386F">
      <w:pPr>
        <w:jc w:val="both"/>
      </w:pPr>
    </w:p>
    <w:p w:rsidR="00C9452C" w:rsidRPr="0027386F" w:rsidRDefault="00155CA4" w:rsidP="0027386F">
      <w:pPr>
        <w:jc w:val="both"/>
      </w:pPr>
      <w:r w:rsidRPr="0027386F">
        <w:t>T</w:t>
      </w:r>
      <w:r w:rsidR="00C772AB" w:rsidRPr="0027386F">
        <w:t xml:space="preserve">he </w:t>
      </w:r>
      <w:r w:rsidR="00DE58F5" w:rsidRPr="0027386F">
        <w:t xml:space="preserve">review examiner’s </w:t>
      </w:r>
      <w:r w:rsidR="00C9452C" w:rsidRPr="0027386F">
        <w:t>findings of fact and credibility assessments are se</w:t>
      </w:r>
      <w:r w:rsidR="003763BE" w:rsidRPr="0027386F">
        <w:t>t forth below in their entirety:</w:t>
      </w:r>
    </w:p>
    <w:p w:rsidR="00C9452C" w:rsidRPr="0027386F" w:rsidRDefault="00C9452C" w:rsidP="0027386F">
      <w:pPr>
        <w:jc w:val="both"/>
      </w:pPr>
    </w:p>
    <w:p w:rsidR="00A97F00" w:rsidRDefault="00492E4E" w:rsidP="007577D4">
      <w:pPr>
        <w:pStyle w:val="ListParagraph"/>
        <w:numPr>
          <w:ilvl w:val="0"/>
          <w:numId w:val="2"/>
        </w:numPr>
        <w:autoSpaceDE w:val="0"/>
        <w:autoSpaceDN w:val="0"/>
        <w:adjustRightInd w:val="0"/>
        <w:ind w:right="720"/>
        <w:jc w:val="both"/>
      </w:pPr>
      <w:r w:rsidRPr="0027386F">
        <w:lastRenderedPageBreak/>
        <w:t>The employer is a manufacturer. The claimant worked as a part-time marketing assistant for</w:t>
      </w:r>
      <w:r w:rsidR="0027386F">
        <w:t xml:space="preserve"> </w:t>
      </w:r>
      <w:r w:rsidRPr="0027386F">
        <w:t>the employer from 4/14/14 until 1/09/15.</w:t>
      </w:r>
    </w:p>
    <w:p w:rsidR="007577D4" w:rsidRDefault="007577D4" w:rsidP="007577D4">
      <w:pPr>
        <w:pStyle w:val="ListParagraph"/>
        <w:autoSpaceDE w:val="0"/>
        <w:autoSpaceDN w:val="0"/>
        <w:adjustRightInd w:val="0"/>
        <w:ind w:right="720"/>
        <w:jc w:val="both"/>
      </w:pPr>
    </w:p>
    <w:p w:rsidR="00F63251" w:rsidRPr="0027386F" w:rsidRDefault="00492E4E" w:rsidP="0027386F">
      <w:pPr>
        <w:autoSpaceDE w:val="0"/>
        <w:autoSpaceDN w:val="0"/>
        <w:adjustRightInd w:val="0"/>
        <w:ind w:left="720" w:right="720" w:hanging="360"/>
        <w:jc w:val="both"/>
      </w:pPr>
      <w:r w:rsidRPr="0027386F">
        <w:t>2.</w:t>
      </w:r>
      <w:r w:rsidR="00EA1404">
        <w:tab/>
      </w:r>
      <w:r w:rsidRPr="0027386F">
        <w:t>The claimant worked twenty-four hours per week for the employer. The employer paid her</w:t>
      </w:r>
      <w:r w:rsidR="0027386F">
        <w:t xml:space="preserve"> </w:t>
      </w:r>
      <w:r w:rsidRPr="0027386F">
        <w:t>$20.00 per hour.</w:t>
      </w:r>
    </w:p>
    <w:p w:rsidR="00F63251" w:rsidRPr="0027386F" w:rsidRDefault="00F63251" w:rsidP="0027386F">
      <w:pPr>
        <w:autoSpaceDE w:val="0"/>
        <w:autoSpaceDN w:val="0"/>
        <w:adjustRightInd w:val="0"/>
        <w:ind w:left="720" w:right="720" w:hanging="360"/>
        <w:jc w:val="both"/>
      </w:pPr>
    </w:p>
    <w:p w:rsidR="00492E4E" w:rsidRPr="0027386F" w:rsidRDefault="00492E4E" w:rsidP="0027386F">
      <w:pPr>
        <w:autoSpaceDE w:val="0"/>
        <w:autoSpaceDN w:val="0"/>
        <w:adjustRightInd w:val="0"/>
        <w:ind w:left="720" w:right="720" w:hanging="360"/>
        <w:jc w:val="both"/>
      </w:pPr>
      <w:r w:rsidRPr="0027386F">
        <w:t>3. The claimant applied for a sales operations manager position with another employer</w:t>
      </w:r>
      <w:r w:rsidR="0027386F">
        <w:t xml:space="preserve"> </w:t>
      </w:r>
      <w:r w:rsidRPr="0027386F">
        <w:t>(“Employer X”). Employer X offered the position to the employer. Employer X told the</w:t>
      </w:r>
      <w:r w:rsidR="0027386F">
        <w:t xml:space="preserve"> </w:t>
      </w:r>
      <w:r w:rsidRPr="0027386F">
        <w:t>claimant that she would start on 9/12/14, that she would work twenty-five hours per week,</w:t>
      </w:r>
      <w:r w:rsidR="0027386F">
        <w:t xml:space="preserve"> </w:t>
      </w:r>
      <w:r w:rsidRPr="0027386F">
        <w:t>and that it would pay her $22.50 per hour. The claimant accepted the position.</w:t>
      </w:r>
    </w:p>
    <w:p w:rsidR="00F63251" w:rsidRPr="0027386F" w:rsidRDefault="00F63251" w:rsidP="0027386F">
      <w:pPr>
        <w:autoSpaceDE w:val="0"/>
        <w:autoSpaceDN w:val="0"/>
        <w:adjustRightInd w:val="0"/>
        <w:ind w:left="720" w:right="720" w:hanging="360"/>
        <w:jc w:val="both"/>
      </w:pPr>
    </w:p>
    <w:p w:rsidR="00492E4E" w:rsidRPr="0027386F" w:rsidRDefault="00492E4E" w:rsidP="0027386F">
      <w:pPr>
        <w:autoSpaceDE w:val="0"/>
        <w:autoSpaceDN w:val="0"/>
        <w:adjustRightInd w:val="0"/>
        <w:ind w:left="720" w:right="720" w:hanging="360"/>
        <w:jc w:val="both"/>
      </w:pPr>
      <w:r w:rsidRPr="0027386F">
        <w:t>4.</w:t>
      </w:r>
      <w:r w:rsidR="00EA1404">
        <w:tab/>
      </w:r>
      <w:r w:rsidRPr="0027386F">
        <w:t>In the period 9/12/14 to 1/09/15, the claimant worked both the marketing assistant job for the</w:t>
      </w:r>
      <w:r w:rsidR="0027386F">
        <w:t xml:space="preserve"> </w:t>
      </w:r>
      <w:r w:rsidRPr="0027386F">
        <w:t>employer and the sales operations manager position for Employer X.</w:t>
      </w:r>
    </w:p>
    <w:p w:rsidR="00F63251" w:rsidRPr="0027386F" w:rsidRDefault="00F63251" w:rsidP="0027386F">
      <w:pPr>
        <w:autoSpaceDE w:val="0"/>
        <w:autoSpaceDN w:val="0"/>
        <w:adjustRightInd w:val="0"/>
        <w:ind w:left="720" w:right="720" w:hanging="360"/>
        <w:jc w:val="both"/>
      </w:pPr>
    </w:p>
    <w:p w:rsidR="00492E4E" w:rsidRPr="0027386F" w:rsidRDefault="00492E4E" w:rsidP="0027386F">
      <w:pPr>
        <w:autoSpaceDE w:val="0"/>
        <w:autoSpaceDN w:val="0"/>
        <w:adjustRightInd w:val="0"/>
        <w:ind w:left="720" w:right="720" w:hanging="360"/>
        <w:jc w:val="both"/>
      </w:pPr>
      <w:r w:rsidRPr="0027386F">
        <w:t>5.</w:t>
      </w:r>
      <w:r w:rsidR="006A08F2">
        <w:tab/>
      </w:r>
      <w:r w:rsidRPr="0027386F">
        <w:t xml:space="preserve">In December, Employer X offered an </w:t>
      </w:r>
      <w:proofErr w:type="gramStart"/>
      <w:r w:rsidRPr="0027386F">
        <w:t>hours</w:t>
      </w:r>
      <w:proofErr w:type="gramEnd"/>
      <w:r w:rsidRPr="0027386F">
        <w:t xml:space="preserve"> increase to the claimant. Employer X offered</w:t>
      </w:r>
      <w:r w:rsidR="0027386F">
        <w:t xml:space="preserve"> </w:t>
      </w:r>
      <w:r w:rsidRPr="0027386F">
        <w:t>thirty hours. The claimant accepted.</w:t>
      </w:r>
    </w:p>
    <w:p w:rsidR="00F63251" w:rsidRPr="0027386F" w:rsidRDefault="00F63251" w:rsidP="0027386F">
      <w:pPr>
        <w:autoSpaceDE w:val="0"/>
        <w:autoSpaceDN w:val="0"/>
        <w:adjustRightInd w:val="0"/>
        <w:ind w:left="720" w:right="720" w:hanging="360"/>
        <w:jc w:val="both"/>
      </w:pPr>
    </w:p>
    <w:p w:rsidR="00492E4E" w:rsidRPr="0027386F" w:rsidRDefault="00492E4E" w:rsidP="0027386F">
      <w:pPr>
        <w:autoSpaceDE w:val="0"/>
        <w:autoSpaceDN w:val="0"/>
        <w:adjustRightInd w:val="0"/>
        <w:ind w:left="720" w:right="720" w:hanging="360"/>
        <w:jc w:val="both"/>
      </w:pPr>
      <w:r w:rsidRPr="0027386F">
        <w:t>6.</w:t>
      </w:r>
      <w:r w:rsidR="006A08F2">
        <w:tab/>
      </w:r>
      <w:r w:rsidRPr="0027386F">
        <w:t>The claimant decided to resign from her position with the employer because Employer X</w:t>
      </w:r>
      <w:r w:rsidR="0027386F">
        <w:t xml:space="preserve"> </w:t>
      </w:r>
      <w:r w:rsidRPr="0027386F">
        <w:t>paid her more money and offered more schedule flexibility. The claimant worked a two week</w:t>
      </w:r>
      <w:r w:rsidR="0027386F">
        <w:t xml:space="preserve"> </w:t>
      </w:r>
      <w:r w:rsidRPr="0027386F">
        <w:t>notice period for the employer.</w:t>
      </w:r>
    </w:p>
    <w:p w:rsidR="00B67318" w:rsidRPr="0027386F" w:rsidRDefault="00B67318" w:rsidP="0027386F">
      <w:pPr>
        <w:jc w:val="both"/>
      </w:pPr>
    </w:p>
    <w:p w:rsidR="00C9452C" w:rsidRPr="0027386F" w:rsidRDefault="00C9452C" w:rsidP="0027386F">
      <w:pPr>
        <w:jc w:val="both"/>
      </w:pPr>
      <w:r w:rsidRPr="0027386F">
        <w:rPr>
          <w:u w:val="single"/>
        </w:rPr>
        <w:t>Ruling of the Board</w:t>
      </w:r>
    </w:p>
    <w:p w:rsidR="00C9452C" w:rsidRPr="0027386F" w:rsidRDefault="00C9452C" w:rsidP="0027386F">
      <w:pPr>
        <w:jc w:val="both"/>
      </w:pPr>
    </w:p>
    <w:p w:rsidR="00C9452C" w:rsidRPr="0027386F" w:rsidRDefault="00172532" w:rsidP="0027386F">
      <w:pPr>
        <w:jc w:val="both"/>
      </w:pPr>
      <w:r w:rsidRPr="0027386F">
        <w:t xml:space="preserve">In accordance with our statutory obligation, we review the </w:t>
      </w:r>
      <w:r w:rsidR="00C35291" w:rsidRPr="0027386F">
        <w:t>decision</w:t>
      </w:r>
      <w:r w:rsidRPr="0027386F">
        <w:t xml:space="preserve"> made by the review examiner</w:t>
      </w:r>
      <w:r w:rsidR="00933AF8" w:rsidRPr="0027386F">
        <w:t xml:space="preserve"> to determine: (1) whether the</w:t>
      </w:r>
      <w:r w:rsidRPr="0027386F">
        <w:t xml:space="preserve"> findings are supported by substantial and credible evidence; and (2) whether the review examiner’s ultimate conclusio</w:t>
      </w:r>
      <w:r w:rsidR="00657069" w:rsidRPr="0027386F">
        <w:t xml:space="preserve">n is free from error of law.  </w:t>
      </w:r>
      <w:r w:rsidRPr="0027386F">
        <w:t>Upon such review, the Board adopts the review examiner’s findings of fact and deems them to be supported by substantial and credible evidence</w:t>
      </w:r>
      <w:r w:rsidR="00600CA1" w:rsidRPr="0027386F">
        <w:t xml:space="preserve">. </w:t>
      </w:r>
      <w:r w:rsidRPr="0027386F">
        <w:t>However, a</w:t>
      </w:r>
      <w:r w:rsidR="00600CA1" w:rsidRPr="0027386F">
        <w:t xml:space="preserve">s discussed more fully below, </w:t>
      </w:r>
      <w:r w:rsidRPr="0027386F">
        <w:t xml:space="preserve">we believe that the review examiner’s findings of fact </w:t>
      </w:r>
      <w:r w:rsidR="0079323E" w:rsidRPr="0027386F">
        <w:t xml:space="preserve">do not </w:t>
      </w:r>
      <w:r w:rsidRPr="0027386F">
        <w:t xml:space="preserve">support </w:t>
      </w:r>
      <w:r w:rsidR="00D20DBA" w:rsidRPr="0027386F">
        <w:t>disqualif</w:t>
      </w:r>
      <w:r w:rsidR="0079323E" w:rsidRPr="0027386F">
        <w:t>ying the claimant from benefits</w:t>
      </w:r>
      <w:r w:rsidR="006A08F2">
        <w:t>.</w:t>
      </w:r>
    </w:p>
    <w:p w:rsidR="00287114" w:rsidRPr="0027386F" w:rsidRDefault="00287114" w:rsidP="0027386F">
      <w:pPr>
        <w:jc w:val="both"/>
      </w:pPr>
    </w:p>
    <w:p w:rsidR="00287114" w:rsidRPr="0027386F" w:rsidRDefault="0079323E" w:rsidP="0027386F">
      <w:pPr>
        <w:pStyle w:val="Default"/>
      </w:pPr>
      <w:r w:rsidRPr="0027386F">
        <w:t xml:space="preserve">Since the claimant quit her employment, her qualification for benefits is governed, in part, by </w:t>
      </w:r>
      <w:r w:rsidR="00287114" w:rsidRPr="0027386F">
        <w:t>G.L. c. 151A, § 25(e</w:t>
      </w:r>
      <w:proofErr w:type="gramStart"/>
      <w:r w:rsidR="00287114" w:rsidRPr="0027386F">
        <w:t>)(</w:t>
      </w:r>
      <w:proofErr w:type="gramEnd"/>
      <w:r w:rsidR="00287114" w:rsidRPr="0027386F">
        <w:t xml:space="preserve">1), which provides: </w:t>
      </w:r>
    </w:p>
    <w:p w:rsidR="00287114" w:rsidRPr="0027386F" w:rsidRDefault="00287114" w:rsidP="00A97F00">
      <w:pPr>
        <w:pStyle w:val="Default"/>
        <w:jc w:val="both"/>
      </w:pPr>
    </w:p>
    <w:p w:rsidR="00287114" w:rsidRPr="0027386F" w:rsidRDefault="00287114" w:rsidP="00A97F00">
      <w:pPr>
        <w:pStyle w:val="Default"/>
        <w:ind w:left="720" w:right="900"/>
        <w:jc w:val="both"/>
      </w:pPr>
      <w:r w:rsidRPr="0027386F">
        <w:t>No waiting period shall be allowed and no benefits shall be paid to an individual under this chapter for . . . [T]he period of unemployment next ensuing . . . after the individual has left work (1) voluntarily unless the employee establishes by substantial and credible evidence that he had good cause for leaving attributable to the employing unit or its agent</w:t>
      </w:r>
      <w:r w:rsidR="006A08F2">
        <w:t>,</w:t>
      </w:r>
      <w:r w:rsidRPr="0027386F">
        <w:t xml:space="preserve"> . . . </w:t>
      </w:r>
    </w:p>
    <w:p w:rsidR="00287114" w:rsidRPr="0027386F" w:rsidRDefault="00287114" w:rsidP="0027386F">
      <w:pPr>
        <w:pStyle w:val="Default"/>
      </w:pPr>
    </w:p>
    <w:p w:rsidR="0079323E" w:rsidRPr="0027386F" w:rsidRDefault="004459BD" w:rsidP="0027386F">
      <w:pPr>
        <w:jc w:val="both"/>
      </w:pPr>
      <w:r w:rsidRPr="0027386F">
        <w:t xml:space="preserve">Of primary relevance here, however, are </w:t>
      </w:r>
      <w:r w:rsidR="006966EE" w:rsidRPr="0027386F">
        <w:t xml:space="preserve">430 CMR 4.71 through 4.78, which are </w:t>
      </w:r>
      <w:r w:rsidR="0079323E" w:rsidRPr="0027386F">
        <w:t>the DUA’s regulations governing separations from subsidiary part time employment</w:t>
      </w:r>
      <w:r w:rsidR="006966EE" w:rsidRPr="0027386F">
        <w:t xml:space="preserve">. </w:t>
      </w:r>
      <w:r w:rsidR="0079323E" w:rsidRPr="0027386F">
        <w:t xml:space="preserve"> </w:t>
      </w:r>
      <w:r w:rsidR="006966EE" w:rsidRPr="0027386F">
        <w:t>These regulatory provisions</w:t>
      </w:r>
      <w:r w:rsidRPr="0027386F">
        <w:t xml:space="preserve"> will be set forth in pertinent part where appropriate in the discussion, below.</w:t>
      </w:r>
    </w:p>
    <w:p w:rsidR="0079323E" w:rsidRPr="0027386F" w:rsidRDefault="0079323E" w:rsidP="0027386F">
      <w:pPr>
        <w:jc w:val="both"/>
      </w:pPr>
    </w:p>
    <w:p w:rsidR="004459BD" w:rsidRPr="0027386F" w:rsidRDefault="00B91DC2" w:rsidP="0027386F">
      <w:pPr>
        <w:jc w:val="both"/>
      </w:pPr>
      <w:r w:rsidRPr="0027386F">
        <w:t>Generally, in cases governed by G.L. c. 151A, § 25(e</w:t>
      </w:r>
      <w:proofErr w:type="gramStart"/>
      <w:r w:rsidRPr="0027386F">
        <w:t>)(</w:t>
      </w:r>
      <w:proofErr w:type="gramEnd"/>
      <w:r w:rsidRPr="0027386F">
        <w:t xml:space="preserve">1), </w:t>
      </w:r>
      <w:r w:rsidR="00287114" w:rsidRPr="0027386F">
        <w:t xml:space="preserve">the claimant has the burden to show that </w:t>
      </w:r>
      <w:r w:rsidRPr="0027386F">
        <w:t xml:space="preserve">the circumstances of her separation </w:t>
      </w:r>
      <w:r w:rsidR="00287114" w:rsidRPr="0027386F">
        <w:t xml:space="preserve">entitle </w:t>
      </w:r>
      <w:r w:rsidR="004459BD" w:rsidRPr="0027386F">
        <w:t xml:space="preserve">her </w:t>
      </w:r>
      <w:r w:rsidR="00287114" w:rsidRPr="0027386F">
        <w:t xml:space="preserve">to receive benefits. </w:t>
      </w:r>
      <w:r w:rsidRPr="0027386F">
        <w:t xml:space="preserve"> However, </w:t>
      </w:r>
      <w:r w:rsidR="004459BD" w:rsidRPr="0027386F">
        <w:t xml:space="preserve">pursuant to 430 CMR 4.76 (1), </w:t>
      </w:r>
      <w:r w:rsidRPr="0027386F">
        <w:t xml:space="preserve">where the job in question is subsidiary part time work, from which the claimant separates prior to separating from her primary job and before she has established an unemployment claim, her separation from the subsidiary job has no bearing on her claim for benefits.  The only exception to this rule applies where the claimant knew or had reason to know of her impending separation from her primary job at the time she leaves her subsidiary job.  </w:t>
      </w:r>
      <w:r w:rsidR="004459BD" w:rsidRPr="0027386F">
        <w:t xml:space="preserve">This principle was extensively discussed in Board of Review </w:t>
      </w:r>
      <w:r w:rsidR="006A08F2">
        <w:t>D</w:t>
      </w:r>
      <w:r w:rsidR="004459BD" w:rsidRPr="0027386F">
        <w:t>ecision 0011 4858 86 (June 19, 2014)</w:t>
      </w:r>
      <w:r w:rsidR="006A08F2">
        <w:t>.</w:t>
      </w:r>
      <w:r w:rsidR="004459BD" w:rsidRPr="0027386F">
        <w:t xml:space="preserve">  We must determine, therefore, whether the claimant’s job for the instant employer was “subsidiary part time work,” within the meaning of the DUA’s regulations, and, if so, whether the claimant quit this job prior to establishing a claim based upon her separation from her primary employer and without foreknowledge of that subsequent separation.  </w:t>
      </w:r>
    </w:p>
    <w:p w:rsidR="004459BD" w:rsidRPr="0027386F" w:rsidRDefault="004459BD" w:rsidP="0027386F">
      <w:pPr>
        <w:jc w:val="both"/>
      </w:pPr>
    </w:p>
    <w:p w:rsidR="009962E6" w:rsidRPr="0027386F" w:rsidRDefault="004459BD" w:rsidP="0027386F">
      <w:pPr>
        <w:jc w:val="both"/>
      </w:pPr>
      <w:r w:rsidRPr="0027386F">
        <w:t xml:space="preserve">“Subsidiary </w:t>
      </w:r>
      <w:r w:rsidR="009962E6" w:rsidRPr="0027386F">
        <w:t xml:space="preserve">Part-time Work” is defined in the applicable regulations as “employment worked contemporaneously with full-time work.”  </w:t>
      </w:r>
      <w:proofErr w:type="gramStart"/>
      <w:r w:rsidR="009962E6" w:rsidRPr="0027386F">
        <w:t>430 CMR 4.73.</w:t>
      </w:r>
      <w:proofErr w:type="gramEnd"/>
      <w:r w:rsidR="009962E6" w:rsidRPr="0027386F">
        <w:t xml:space="preserve">  The regulations also address a situation, as here, where a claimant has two contemporaneous jobs, neither of which are “full time” in the usual sense of that term:  “The claimant’s most recent work will, in the case of multiple contemporaneous employees, be presumed full-time if he or she worked more hours or earned more money in the most recent work than in all other contemporaneous employment.”  </w:t>
      </w:r>
      <w:proofErr w:type="gramStart"/>
      <w:r w:rsidR="009962E6" w:rsidRPr="0027386F">
        <w:t>430 CMR 4.75 (3).</w:t>
      </w:r>
      <w:proofErr w:type="gramEnd"/>
    </w:p>
    <w:p w:rsidR="009962E6" w:rsidRPr="0027386F" w:rsidRDefault="009962E6" w:rsidP="0027386F">
      <w:pPr>
        <w:jc w:val="both"/>
      </w:pPr>
    </w:p>
    <w:p w:rsidR="00A71946" w:rsidRPr="0027386F" w:rsidRDefault="009962E6" w:rsidP="0027386F">
      <w:pPr>
        <w:jc w:val="both"/>
      </w:pPr>
      <w:r w:rsidRPr="0027386F">
        <w:t>Here, t</w:t>
      </w:r>
      <w:r w:rsidR="00287114" w:rsidRPr="0027386F">
        <w:t>he review examiner’s findings establish that the claimant worked part-time for th</w:t>
      </w:r>
      <w:r w:rsidRPr="0027386F">
        <w:t>is</w:t>
      </w:r>
      <w:r w:rsidR="00287114" w:rsidRPr="0027386F">
        <w:t xml:space="preserve"> employer </w:t>
      </w:r>
      <w:r w:rsidR="00B87118" w:rsidRPr="0027386F">
        <w:t xml:space="preserve">for a period of time </w:t>
      </w:r>
      <w:r w:rsidR="00287114" w:rsidRPr="0027386F">
        <w:t>while she also worked at a job for another employer</w:t>
      </w:r>
      <w:r w:rsidR="00100378" w:rsidRPr="0027386F">
        <w:t xml:space="preserve">.  The claimant worked 24 hours a week for the </w:t>
      </w:r>
      <w:r w:rsidR="00B87118" w:rsidRPr="0027386F">
        <w:t xml:space="preserve">instant </w:t>
      </w:r>
      <w:r w:rsidR="00100378" w:rsidRPr="0027386F">
        <w:t>employer from April 14, 2014 until January 9, 2015, and earned $20.00 per hour.  She started working for the other employer on December 12, 2014, working 25 hours per week,</w:t>
      </w:r>
      <w:r w:rsidR="00362FF2" w:rsidRPr="0027386F">
        <w:t xml:space="preserve"> and</w:t>
      </w:r>
      <w:r w:rsidR="00100378" w:rsidRPr="0027386F">
        <w:t xml:space="preserve"> earning $22.50 per hour.  She </w:t>
      </w:r>
      <w:r w:rsidR="00B87118" w:rsidRPr="0027386F">
        <w:t xml:space="preserve">thus </w:t>
      </w:r>
      <w:r w:rsidR="00100378" w:rsidRPr="0027386F">
        <w:t xml:space="preserve">worked contemporaneously for both employers </w:t>
      </w:r>
      <w:r w:rsidR="00B87118" w:rsidRPr="0027386F">
        <w:t xml:space="preserve">from December 12, 2014 </w:t>
      </w:r>
      <w:r w:rsidR="00100378" w:rsidRPr="0027386F">
        <w:t xml:space="preserve">until </w:t>
      </w:r>
      <w:r w:rsidR="00B87118" w:rsidRPr="0027386F">
        <w:t>January 9, 2015.  S</w:t>
      </w:r>
      <w:r w:rsidR="00100378" w:rsidRPr="0027386F">
        <w:t>he resigned from th</w:t>
      </w:r>
      <w:r w:rsidR="00B87118" w:rsidRPr="0027386F">
        <w:t>e</w:t>
      </w:r>
      <w:r w:rsidR="00100378" w:rsidRPr="0027386F">
        <w:t xml:space="preserve"> </w:t>
      </w:r>
      <w:r w:rsidR="00B87118" w:rsidRPr="0027386F">
        <w:t xml:space="preserve">instant job </w:t>
      </w:r>
      <w:r w:rsidR="00100378" w:rsidRPr="0027386F">
        <w:t xml:space="preserve">after the other employer increased her hours to 30 hours per week, </w:t>
      </w:r>
      <w:r w:rsidR="00B87118" w:rsidRPr="0027386F">
        <w:t xml:space="preserve">increased her pay, </w:t>
      </w:r>
      <w:r w:rsidR="004B315E" w:rsidRPr="0027386F">
        <w:t xml:space="preserve">and offered </w:t>
      </w:r>
      <w:r w:rsidR="00100378" w:rsidRPr="0027386F">
        <w:t>more schedule flexibility.</w:t>
      </w:r>
      <w:r w:rsidR="006A0D7A" w:rsidRPr="0027386F">
        <w:t xml:space="preserve"> </w:t>
      </w:r>
      <w:r w:rsidR="006A08F2">
        <w:t xml:space="preserve"> </w:t>
      </w:r>
      <w:r w:rsidR="00A71946" w:rsidRPr="0027386F">
        <w:t xml:space="preserve">We take administrative notice </w:t>
      </w:r>
      <w:r w:rsidR="00B87118" w:rsidRPr="0027386F">
        <w:t xml:space="preserve">of DUA’s </w:t>
      </w:r>
      <w:r w:rsidR="00A71946" w:rsidRPr="0027386F">
        <w:t xml:space="preserve">UI Online records </w:t>
      </w:r>
      <w:r w:rsidR="00B87118" w:rsidRPr="0027386F">
        <w:t xml:space="preserve">which reflect </w:t>
      </w:r>
      <w:r w:rsidR="00A71946" w:rsidRPr="0027386F">
        <w:t xml:space="preserve">that the </w:t>
      </w:r>
      <w:r w:rsidR="00B87118" w:rsidRPr="0027386F">
        <w:t xml:space="preserve">other employer laid the </w:t>
      </w:r>
      <w:r w:rsidR="00A71946" w:rsidRPr="0027386F">
        <w:t>claimant</w:t>
      </w:r>
      <w:r w:rsidR="00B87118" w:rsidRPr="0027386F">
        <w:t xml:space="preserve"> off for lack of work </w:t>
      </w:r>
      <w:r w:rsidR="00A71946" w:rsidRPr="0027386F">
        <w:t xml:space="preserve">on February 16, 2015, and </w:t>
      </w:r>
      <w:r w:rsidR="00B87118" w:rsidRPr="0027386F">
        <w:t xml:space="preserve">that the claimant initiated her claim for </w:t>
      </w:r>
      <w:r w:rsidR="00A71946" w:rsidRPr="0027386F">
        <w:t>benefits on February 18, 2015.</w:t>
      </w:r>
      <w:r w:rsidR="004840DA" w:rsidRPr="0027386F">
        <w:t xml:space="preserve"> </w:t>
      </w:r>
    </w:p>
    <w:p w:rsidR="00362FF2" w:rsidRPr="0027386F" w:rsidRDefault="00362FF2" w:rsidP="0027386F">
      <w:pPr>
        <w:jc w:val="both"/>
      </w:pPr>
    </w:p>
    <w:p w:rsidR="00A71946" w:rsidRPr="0027386F" w:rsidRDefault="00B87118" w:rsidP="0027386F">
      <w:pPr>
        <w:jc w:val="both"/>
      </w:pPr>
      <w:r w:rsidRPr="0027386F">
        <w:t xml:space="preserve">Under these facts, </w:t>
      </w:r>
      <w:r w:rsidR="004B315E" w:rsidRPr="0027386F">
        <w:t xml:space="preserve">the claimant’s </w:t>
      </w:r>
      <w:r w:rsidRPr="0027386F">
        <w:t xml:space="preserve">most recent </w:t>
      </w:r>
      <w:r w:rsidR="004B315E" w:rsidRPr="0027386F">
        <w:t xml:space="preserve">position </w:t>
      </w:r>
      <w:r w:rsidRPr="0027386F">
        <w:t xml:space="preserve">was </w:t>
      </w:r>
      <w:r w:rsidR="004B315E" w:rsidRPr="0027386F">
        <w:t xml:space="preserve">with the </w:t>
      </w:r>
      <w:r w:rsidRPr="0027386F">
        <w:t>other employer, and the other employer was her primary employer because she worked more hours and received more pay from that employer than from the instant employer.</w:t>
      </w:r>
      <w:r w:rsidR="006C0585" w:rsidRPr="0027386F">
        <w:t xml:space="preserve">  </w:t>
      </w:r>
    </w:p>
    <w:p w:rsidR="00B87118" w:rsidRPr="0027386F" w:rsidRDefault="00B87118" w:rsidP="0027386F">
      <w:pPr>
        <w:jc w:val="both"/>
      </w:pPr>
    </w:p>
    <w:p w:rsidR="004971B3" w:rsidRPr="0027386F" w:rsidRDefault="00B87118" w:rsidP="0027386F">
      <w:pPr>
        <w:jc w:val="both"/>
      </w:pPr>
      <w:r w:rsidRPr="0027386F">
        <w:t xml:space="preserve">Nothing in the record suggests that, at the time the claimant quit the instant subsidiary job, she knew </w:t>
      </w:r>
      <w:r w:rsidR="006C0585" w:rsidRPr="0027386F">
        <w:t xml:space="preserve">or had </w:t>
      </w:r>
      <w:r w:rsidR="00A71946" w:rsidRPr="0027386F">
        <w:t xml:space="preserve">any </w:t>
      </w:r>
      <w:r w:rsidR="006C0585" w:rsidRPr="0027386F">
        <w:t>reason to know of an impending separation from the claimant’</w:t>
      </w:r>
      <w:r w:rsidR="00D3204C" w:rsidRPr="0027386F">
        <w:t xml:space="preserve">s primary employer.  </w:t>
      </w:r>
      <w:r w:rsidRPr="0027386F">
        <w:t xml:space="preserve">Indeed, the </w:t>
      </w:r>
      <w:r w:rsidR="00D3204C" w:rsidRPr="0027386F">
        <w:t xml:space="preserve">findings of fact </w:t>
      </w:r>
      <w:r w:rsidRPr="0027386F">
        <w:t xml:space="preserve">indicate that the claimant’s genuine reason for quitting </w:t>
      </w:r>
      <w:r w:rsidR="00A71946" w:rsidRPr="0027386F">
        <w:t>when she did</w:t>
      </w:r>
      <w:r w:rsidRPr="0027386F">
        <w:t xml:space="preserve"> was that the </w:t>
      </w:r>
      <w:r w:rsidR="00A71946" w:rsidRPr="0027386F">
        <w:t xml:space="preserve">primary </w:t>
      </w:r>
      <w:r w:rsidRPr="0027386F">
        <w:t xml:space="preserve">employer was offering her more hours and pay.  </w:t>
      </w:r>
      <w:r w:rsidR="00A71946" w:rsidRPr="0027386F">
        <w:t>Thus,</w:t>
      </w:r>
      <w:r w:rsidR="006C0585" w:rsidRPr="0027386F">
        <w:t xml:space="preserve"> </w:t>
      </w:r>
      <w:r w:rsidR="004840DA" w:rsidRPr="0027386F">
        <w:t>based up</w:t>
      </w:r>
      <w:r w:rsidR="00D3204C" w:rsidRPr="0027386F">
        <w:t xml:space="preserve">on the facts found by the review examiner, </w:t>
      </w:r>
      <w:r w:rsidR="00362FF2" w:rsidRPr="0027386F">
        <w:t xml:space="preserve">where the claimant did not know of the impending layoff, the </w:t>
      </w:r>
      <w:r w:rsidRPr="0027386F">
        <w:t xml:space="preserve">circumstances surrounding the </w:t>
      </w:r>
      <w:r w:rsidR="00362FF2" w:rsidRPr="0027386F">
        <w:t>claimant</w:t>
      </w:r>
      <w:r w:rsidRPr="0027386F">
        <w:t>’s separation from the instant subsidiary part time job have no effect on her qualification for benefits or the amount of her benefits in the claim she established after being laid off from her primary employment</w:t>
      </w:r>
      <w:r w:rsidR="00A71946" w:rsidRPr="0027386F">
        <w:t>.</w:t>
      </w:r>
      <w:r w:rsidR="00B005DE" w:rsidRPr="0027386F">
        <w:tab/>
      </w:r>
    </w:p>
    <w:p w:rsidR="004840DA" w:rsidRPr="007577D4" w:rsidRDefault="00A97F00" w:rsidP="007577D4">
      <w:pPr>
        <w:rPr>
          <w:color w:val="000000"/>
        </w:rPr>
      </w:pPr>
      <w:r>
        <w:br w:type="page"/>
      </w:r>
    </w:p>
    <w:p w:rsidR="00C9452C" w:rsidRPr="0027386F" w:rsidRDefault="004840DA" w:rsidP="0027386F">
      <w:pPr>
        <w:jc w:val="both"/>
      </w:pPr>
      <w:r w:rsidRPr="0027386F">
        <w:t xml:space="preserve">We, therefore, conclude as a matter of law that the review examiner’s decision to disqualify the claimant is </w:t>
      </w:r>
      <w:r w:rsidR="00B87118" w:rsidRPr="0027386F">
        <w:t xml:space="preserve">erroneous as a matter of law.  </w:t>
      </w:r>
      <w:r w:rsidR="00140103" w:rsidRPr="0027386F">
        <w:t>T</w:t>
      </w:r>
      <w:r w:rsidR="00D3694E" w:rsidRPr="0027386F">
        <w:t>he</w:t>
      </w:r>
      <w:r w:rsidR="00C9452C" w:rsidRPr="0027386F">
        <w:t xml:space="preserve"> review examiner’s decision</w:t>
      </w:r>
      <w:r w:rsidR="00971056" w:rsidRPr="0027386F">
        <w:t xml:space="preserve"> is </w:t>
      </w:r>
      <w:r w:rsidR="00DE58F5" w:rsidRPr="0027386F">
        <w:t>reversed</w:t>
      </w:r>
      <w:r w:rsidR="00BF735D" w:rsidRPr="0027386F">
        <w:t>.</w:t>
      </w:r>
      <w:r w:rsidR="00121B0F" w:rsidRPr="0027386F">
        <w:t xml:space="preserve">  The claimant is </w:t>
      </w:r>
      <w:r w:rsidR="00BF735D" w:rsidRPr="0027386F">
        <w:t>entitled to receive benefits for the week ending</w:t>
      </w:r>
      <w:r w:rsidR="00971056" w:rsidRPr="0027386F">
        <w:t xml:space="preserve"> December 28, 2014,</w:t>
      </w:r>
      <w:r w:rsidR="00BF735D" w:rsidRPr="0027386F">
        <w:t xml:space="preserve"> and for subsequen</w:t>
      </w:r>
      <w:r w:rsidR="00121B0F" w:rsidRPr="0027386F">
        <w:t>t weeks, if otherwise eligible.</w:t>
      </w:r>
    </w:p>
    <w:p w:rsidR="00C9452C" w:rsidRPr="0027386F" w:rsidRDefault="00C9452C" w:rsidP="0027386F">
      <w:pPr>
        <w:tabs>
          <w:tab w:val="left" w:pos="5760"/>
        </w:tabs>
        <w:jc w:val="both"/>
        <w:rPr>
          <w:b/>
        </w:rPr>
      </w:pPr>
    </w:p>
    <w:p w:rsidR="0027386F" w:rsidRPr="0027386F" w:rsidRDefault="0027386F" w:rsidP="0027386F">
      <w:pPr>
        <w:ind w:left="5400" w:firstLine="360"/>
        <w:jc w:val="both"/>
      </w:pPr>
      <w:r w:rsidRPr="0027386F">
        <w:rPr>
          <w:b/>
          <w:noProof/>
        </w:rPr>
        <w:drawing>
          <wp:inline distT="0" distB="0" distL="0" distR="0" wp14:anchorId="048B8236" wp14:editId="770EF355">
            <wp:extent cx="1971675" cy="619125"/>
            <wp:effectExtent l="0" t="0" r="9525" b="9525"/>
            <wp:docPr id="2" name="Picture 2" descr="ptf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p>
    <w:p w:rsidR="0027386F" w:rsidRPr="0027386F" w:rsidRDefault="0027386F" w:rsidP="0027386F">
      <w:pPr>
        <w:jc w:val="both"/>
      </w:pPr>
      <w:r w:rsidRPr="0027386F">
        <w:rPr>
          <w:b/>
        </w:rPr>
        <w:t>BOSTON, MASSACHUSETTS</w:t>
      </w:r>
      <w:r w:rsidRPr="0027386F">
        <w:tab/>
        <w:t xml:space="preserve"> </w:t>
      </w:r>
      <w:r w:rsidRPr="0027386F">
        <w:tab/>
      </w:r>
      <w:r w:rsidRPr="0027386F">
        <w:tab/>
      </w:r>
      <w:r w:rsidRPr="0027386F">
        <w:tab/>
        <w:t>Paul T. Fitzgerald, Esq.</w:t>
      </w:r>
    </w:p>
    <w:p w:rsidR="0027386F" w:rsidRPr="0027386F" w:rsidRDefault="0027386F" w:rsidP="0027386F">
      <w:pPr>
        <w:jc w:val="both"/>
      </w:pPr>
      <w:r w:rsidRPr="0027386F">
        <w:rPr>
          <w:b/>
        </w:rPr>
        <w:t>DATE OF DECISION -</w:t>
      </w:r>
      <w:r w:rsidRPr="0027386F">
        <w:t xml:space="preserve">  </w:t>
      </w:r>
      <w:r w:rsidR="00A97F00">
        <w:rPr>
          <w:b/>
        </w:rPr>
        <w:t>September 30, 2015</w:t>
      </w:r>
      <w:r w:rsidRPr="0027386F">
        <w:tab/>
      </w:r>
      <w:r w:rsidRPr="0027386F">
        <w:tab/>
        <w:t>Chairman</w:t>
      </w:r>
    </w:p>
    <w:p w:rsidR="0027386F" w:rsidRPr="0027386F" w:rsidRDefault="0027386F" w:rsidP="0027386F">
      <w:pPr>
        <w:ind w:left="5400" w:firstLine="360"/>
        <w:jc w:val="both"/>
      </w:pPr>
      <w:r w:rsidRPr="0027386F">
        <w:rPr>
          <w:color w:val="0000FF"/>
        </w:rPr>
        <w:t xml:space="preserve">  </w:t>
      </w:r>
      <w:r w:rsidRPr="0027386F">
        <w:rPr>
          <w:color w:val="0000FF"/>
        </w:rPr>
        <w:tab/>
      </w:r>
      <w:r w:rsidRPr="0027386F">
        <w:rPr>
          <w:noProof/>
        </w:rPr>
        <w:drawing>
          <wp:inline distT="0" distB="0" distL="0" distR="0" wp14:anchorId="1399FA0B" wp14:editId="151A3CB5">
            <wp:extent cx="2286000" cy="514350"/>
            <wp:effectExtent l="0" t="0" r="0" b="0"/>
            <wp:docPr id="1" name="Picture 1"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514350"/>
                    </a:xfrm>
                    <a:prstGeom prst="rect">
                      <a:avLst/>
                    </a:prstGeom>
                    <a:noFill/>
                    <a:ln>
                      <a:noFill/>
                    </a:ln>
                  </pic:spPr>
                </pic:pic>
              </a:graphicData>
            </a:graphic>
          </wp:inline>
        </w:drawing>
      </w:r>
    </w:p>
    <w:p w:rsidR="0027386F" w:rsidRPr="0027386F" w:rsidRDefault="0027386F" w:rsidP="0027386F">
      <w:pPr>
        <w:ind w:left="5760"/>
        <w:jc w:val="both"/>
      </w:pPr>
      <w:r w:rsidRPr="0027386F">
        <w:t>Judith M. Neumann, Esq.</w:t>
      </w:r>
    </w:p>
    <w:p w:rsidR="0027386F" w:rsidRPr="0027386F" w:rsidRDefault="0027386F" w:rsidP="0027386F">
      <w:pPr>
        <w:ind w:left="5760"/>
        <w:jc w:val="both"/>
      </w:pPr>
      <w:r w:rsidRPr="0027386F">
        <w:t>Member</w:t>
      </w:r>
    </w:p>
    <w:p w:rsidR="0027386F" w:rsidRPr="0027386F" w:rsidRDefault="0027386F" w:rsidP="0027386F">
      <w:pPr>
        <w:tabs>
          <w:tab w:val="left" w:pos="-1080"/>
          <w:tab w:val="left" w:pos="-720"/>
          <w:tab w:val="left" w:pos="0"/>
          <w:tab w:val="left" w:pos="720"/>
          <w:tab w:val="left" w:pos="5760"/>
          <w:tab w:val="left" w:pos="7920"/>
        </w:tabs>
        <w:jc w:val="both"/>
      </w:pPr>
    </w:p>
    <w:p w:rsidR="0027386F" w:rsidRPr="0027386F" w:rsidRDefault="0027386F" w:rsidP="0027386F">
      <w:pPr>
        <w:tabs>
          <w:tab w:val="left" w:pos="-1080"/>
          <w:tab w:val="left" w:pos="-720"/>
          <w:tab w:val="left" w:pos="0"/>
          <w:tab w:val="left" w:pos="720"/>
          <w:tab w:val="left" w:pos="5760"/>
          <w:tab w:val="left" w:pos="7920"/>
        </w:tabs>
        <w:jc w:val="both"/>
      </w:pPr>
      <w:r w:rsidRPr="0027386F">
        <w:t>Member Stephen M. Linsky, Esq. did not participate in this decision.</w:t>
      </w:r>
    </w:p>
    <w:p w:rsidR="00C9452C" w:rsidRPr="0027386F" w:rsidRDefault="00C9452C" w:rsidP="0027386F">
      <w:pPr>
        <w:tabs>
          <w:tab w:val="left" w:pos="-1080"/>
          <w:tab w:val="left" w:pos="-720"/>
          <w:tab w:val="left" w:pos="0"/>
          <w:tab w:val="left" w:pos="720"/>
          <w:tab w:val="left" w:pos="5760"/>
          <w:tab w:val="left" w:pos="7920"/>
        </w:tabs>
      </w:pPr>
    </w:p>
    <w:p w:rsidR="00C9452C" w:rsidRPr="0027386F" w:rsidRDefault="00C9452C" w:rsidP="0027386F">
      <w:pPr>
        <w:tabs>
          <w:tab w:val="left" w:pos="-1080"/>
          <w:tab w:val="left" w:pos="-720"/>
          <w:tab w:val="left" w:pos="0"/>
          <w:tab w:val="left" w:pos="720"/>
          <w:tab w:val="left" w:pos="5760"/>
          <w:tab w:val="left" w:pos="7920"/>
        </w:tabs>
        <w:jc w:val="center"/>
        <w:rPr>
          <w:b/>
        </w:rPr>
      </w:pPr>
      <w:r w:rsidRPr="0027386F">
        <w:rPr>
          <w:b/>
        </w:rPr>
        <w:t xml:space="preserve">ANY FURTHER APPEAL WOULD BE TO A MASSACHUSETTS </w:t>
      </w:r>
      <w:r w:rsidR="00F42431" w:rsidRPr="0027386F">
        <w:rPr>
          <w:b/>
        </w:rPr>
        <w:t xml:space="preserve">STATE </w:t>
      </w:r>
      <w:r w:rsidRPr="0027386F">
        <w:rPr>
          <w:b/>
        </w:rPr>
        <w:t>DISTRICT COURT</w:t>
      </w:r>
      <w:r w:rsidR="00B17ABB" w:rsidRPr="0027386F">
        <w:rPr>
          <w:b/>
        </w:rPr>
        <w:t>*</w:t>
      </w:r>
      <w:r w:rsidR="00F42431" w:rsidRPr="0027386F">
        <w:rPr>
          <w:b/>
        </w:rPr>
        <w:t xml:space="preserve"> OR TO THE BOSTON MUNICIPAL COURT</w:t>
      </w:r>
    </w:p>
    <w:p w:rsidR="00C9452C" w:rsidRPr="0027386F" w:rsidRDefault="00C9452C" w:rsidP="0027386F">
      <w:pPr>
        <w:tabs>
          <w:tab w:val="left" w:pos="-1080"/>
          <w:tab w:val="left" w:pos="-720"/>
          <w:tab w:val="left" w:pos="0"/>
          <w:tab w:val="left" w:pos="720"/>
          <w:tab w:val="left" w:pos="5760"/>
          <w:tab w:val="left" w:pos="7920"/>
        </w:tabs>
        <w:jc w:val="center"/>
        <w:rPr>
          <w:b/>
        </w:rPr>
      </w:pPr>
      <w:r w:rsidRPr="0027386F">
        <w:rPr>
          <w:b/>
        </w:rPr>
        <w:t>(See Section 42, Chapter 151A, General Laws Enclosed)</w:t>
      </w:r>
    </w:p>
    <w:p w:rsidR="00C9452C" w:rsidRPr="0027386F" w:rsidRDefault="00C9452C" w:rsidP="0027386F">
      <w:pPr>
        <w:tabs>
          <w:tab w:val="left" w:pos="-1080"/>
          <w:tab w:val="left" w:pos="-720"/>
          <w:tab w:val="left" w:pos="0"/>
          <w:tab w:val="left" w:pos="720"/>
          <w:tab w:val="left" w:pos="5760"/>
          <w:tab w:val="left" w:pos="7920"/>
        </w:tabs>
        <w:jc w:val="both"/>
        <w:rPr>
          <w:b/>
        </w:rPr>
      </w:pPr>
    </w:p>
    <w:p w:rsidR="00172532" w:rsidRPr="0027386F" w:rsidRDefault="00172532" w:rsidP="0027386F">
      <w:pPr>
        <w:jc w:val="both"/>
      </w:pPr>
      <w:r w:rsidRPr="0027386F">
        <w:t xml:space="preserve">The last day to appeal this decision to a Massachusetts District Court is thirty days from the mail date on the first page of this decision.  If that thirtieth day falls on a Saturday, Sunday, or legal holiday, the last day to appeal this decision is the business day next following the thirtieth </w:t>
      </w:r>
      <w:proofErr w:type="gramStart"/>
      <w:r w:rsidRPr="0027386F">
        <w:t>day.</w:t>
      </w:r>
      <w:proofErr w:type="gramEnd"/>
    </w:p>
    <w:p w:rsidR="00172532" w:rsidRPr="0027386F" w:rsidRDefault="00172532" w:rsidP="0027386F">
      <w:pPr>
        <w:tabs>
          <w:tab w:val="left" w:pos="5760"/>
        </w:tabs>
        <w:jc w:val="both"/>
      </w:pPr>
    </w:p>
    <w:p w:rsidR="00161F73" w:rsidRPr="0027386F" w:rsidRDefault="00161F73" w:rsidP="0027386F">
      <w:pPr>
        <w:tabs>
          <w:tab w:val="left" w:pos="5760"/>
        </w:tabs>
        <w:jc w:val="both"/>
        <w:rPr>
          <w:b/>
        </w:rPr>
      </w:pPr>
      <w:r w:rsidRPr="0027386F">
        <w:t>Please be advised that fees for services rendered by an attorney or agent to a claimant in connection with an appeal to the Board of Review are not payable unless submitted to the Board of Review for approval, under G.L. c. 151A, § 37.</w:t>
      </w:r>
    </w:p>
    <w:p w:rsidR="00161F73" w:rsidRPr="0027386F" w:rsidRDefault="00161F73" w:rsidP="0027386F">
      <w:pPr>
        <w:tabs>
          <w:tab w:val="left" w:pos="-1080"/>
          <w:tab w:val="left" w:pos="-720"/>
          <w:tab w:val="left" w:pos="0"/>
          <w:tab w:val="left" w:pos="720"/>
          <w:tab w:val="left" w:pos="5760"/>
          <w:tab w:val="left" w:pos="7920"/>
        </w:tabs>
        <w:jc w:val="both"/>
      </w:pPr>
    </w:p>
    <w:p w:rsidR="003E26AE" w:rsidRPr="00A97F00" w:rsidRDefault="004971B3" w:rsidP="0027386F">
      <w:pPr>
        <w:tabs>
          <w:tab w:val="left" w:pos="-1080"/>
          <w:tab w:val="left" w:pos="-720"/>
          <w:tab w:val="left" w:pos="0"/>
          <w:tab w:val="left" w:pos="720"/>
          <w:tab w:val="left" w:pos="5760"/>
          <w:tab w:val="left" w:pos="7920"/>
        </w:tabs>
        <w:jc w:val="both"/>
        <w:rPr>
          <w:sz w:val="16"/>
          <w:szCs w:val="16"/>
        </w:rPr>
      </w:pPr>
      <w:r w:rsidRPr="00A97F00">
        <w:rPr>
          <w:sz w:val="16"/>
          <w:szCs w:val="16"/>
        </w:rPr>
        <w:t>SPE</w:t>
      </w:r>
      <w:r w:rsidR="00C9452C" w:rsidRPr="00A97F00">
        <w:rPr>
          <w:sz w:val="16"/>
          <w:szCs w:val="16"/>
        </w:rPr>
        <w:t>/</w:t>
      </w:r>
      <w:proofErr w:type="spellStart"/>
      <w:r w:rsidR="0027386F" w:rsidRPr="00A97F00">
        <w:rPr>
          <w:sz w:val="16"/>
          <w:szCs w:val="16"/>
        </w:rPr>
        <w:t>jv</w:t>
      </w:r>
      <w:proofErr w:type="spellEnd"/>
    </w:p>
    <w:p w:rsidR="000D7C1A" w:rsidRPr="0027386F" w:rsidRDefault="000D7C1A" w:rsidP="0027386F">
      <w:pPr>
        <w:tabs>
          <w:tab w:val="left" w:pos="-1080"/>
          <w:tab w:val="left" w:pos="-720"/>
          <w:tab w:val="left" w:pos="0"/>
          <w:tab w:val="left" w:pos="720"/>
          <w:tab w:val="left" w:pos="5760"/>
          <w:tab w:val="left" w:pos="7920"/>
        </w:tabs>
        <w:jc w:val="both"/>
        <w:rPr>
          <w:b/>
        </w:rPr>
      </w:pPr>
    </w:p>
    <w:p w:rsidR="00B17ABB" w:rsidRPr="0027386F" w:rsidRDefault="00B17ABB" w:rsidP="0027386F">
      <w:pPr>
        <w:tabs>
          <w:tab w:val="left" w:pos="-1080"/>
          <w:tab w:val="left" w:pos="-720"/>
          <w:tab w:val="left" w:pos="0"/>
          <w:tab w:val="left" w:pos="720"/>
          <w:tab w:val="left" w:pos="5760"/>
          <w:tab w:val="left" w:pos="7920"/>
        </w:tabs>
        <w:jc w:val="both"/>
        <w:rPr>
          <w:b/>
        </w:rPr>
      </w:pPr>
      <w:r w:rsidRPr="0027386F">
        <w:rPr>
          <w:b/>
        </w:rPr>
        <w:t xml:space="preserve">* To locate the nearest Massachusetts District Court, see:  </w:t>
      </w:r>
    </w:p>
    <w:p w:rsidR="00B17ABB" w:rsidRDefault="00D902F2" w:rsidP="0027386F">
      <w:pPr>
        <w:tabs>
          <w:tab w:val="left" w:pos="-1080"/>
          <w:tab w:val="left" w:pos="-720"/>
          <w:tab w:val="left" w:pos="0"/>
          <w:tab w:val="left" w:pos="720"/>
          <w:tab w:val="left" w:pos="5760"/>
          <w:tab w:val="left" w:pos="7920"/>
        </w:tabs>
        <w:jc w:val="both"/>
        <w:rPr>
          <w:rStyle w:val="Hyperlink"/>
          <w:b/>
          <w:color w:val="auto"/>
        </w:rPr>
      </w:pPr>
      <w:hyperlink r:id="rId10" w:history="1">
        <w:r w:rsidR="00B17ABB" w:rsidRPr="0027386F">
          <w:rPr>
            <w:rStyle w:val="Hyperlink"/>
            <w:b/>
            <w:color w:val="auto"/>
          </w:rPr>
          <w:t>www.mass.gov/courts/court-info/courthouses</w:t>
        </w:r>
      </w:hyperlink>
    </w:p>
    <w:p w:rsidR="00A97F00" w:rsidRDefault="00A97F00" w:rsidP="0027386F">
      <w:pPr>
        <w:tabs>
          <w:tab w:val="left" w:pos="-1080"/>
          <w:tab w:val="left" w:pos="-720"/>
          <w:tab w:val="left" w:pos="0"/>
          <w:tab w:val="left" w:pos="720"/>
          <w:tab w:val="left" w:pos="5760"/>
          <w:tab w:val="left" w:pos="7920"/>
        </w:tabs>
        <w:jc w:val="both"/>
        <w:rPr>
          <w:rStyle w:val="Hyperlink"/>
          <w:b/>
          <w:color w:val="auto"/>
        </w:rPr>
      </w:pPr>
    </w:p>
    <w:p w:rsidR="00A97F00" w:rsidRPr="0027386F" w:rsidRDefault="00A97F00" w:rsidP="0027386F">
      <w:pPr>
        <w:tabs>
          <w:tab w:val="left" w:pos="-1080"/>
          <w:tab w:val="left" w:pos="-720"/>
          <w:tab w:val="left" w:pos="0"/>
          <w:tab w:val="left" w:pos="720"/>
          <w:tab w:val="left" w:pos="5760"/>
          <w:tab w:val="left" w:pos="7920"/>
        </w:tabs>
        <w:jc w:val="both"/>
        <w:rPr>
          <w:b/>
        </w:rPr>
      </w:pPr>
    </w:p>
    <w:p w:rsidR="00B17ABB" w:rsidRPr="0027386F" w:rsidRDefault="00B17ABB" w:rsidP="0027386F">
      <w:pPr>
        <w:tabs>
          <w:tab w:val="left" w:pos="-1080"/>
          <w:tab w:val="left" w:pos="-720"/>
          <w:tab w:val="left" w:pos="0"/>
          <w:tab w:val="left" w:pos="720"/>
          <w:tab w:val="left" w:pos="5760"/>
          <w:tab w:val="left" w:pos="7920"/>
        </w:tabs>
        <w:jc w:val="both"/>
        <w:rPr>
          <w:b/>
        </w:rPr>
      </w:pPr>
    </w:p>
    <w:p w:rsidR="00971056" w:rsidRPr="0027386F" w:rsidRDefault="00971056" w:rsidP="0027386F">
      <w:pPr>
        <w:tabs>
          <w:tab w:val="left" w:pos="-1080"/>
          <w:tab w:val="left" w:pos="-720"/>
          <w:tab w:val="left" w:pos="0"/>
          <w:tab w:val="left" w:pos="720"/>
          <w:tab w:val="left" w:pos="5760"/>
          <w:tab w:val="left" w:pos="7920"/>
        </w:tabs>
        <w:jc w:val="both"/>
        <w:rPr>
          <w:b/>
        </w:rPr>
      </w:pPr>
    </w:p>
    <w:sectPr w:rsidR="00971056" w:rsidRPr="0027386F" w:rsidSect="00C9452C">
      <w:footerReference w:type="default" r:id="rId11"/>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371" w:rsidRDefault="00901371">
      <w:r>
        <w:separator/>
      </w:r>
    </w:p>
  </w:endnote>
  <w:endnote w:type="continuationSeparator" w:id="0">
    <w:p w:rsidR="00901371" w:rsidRDefault="0090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5F" w:rsidRDefault="00FF175F">
    <w:pPr>
      <w:pStyle w:val="Footer"/>
      <w:jc w:val="center"/>
    </w:pPr>
    <w:r>
      <w:fldChar w:fldCharType="begin"/>
    </w:r>
    <w:r>
      <w:instrText xml:space="preserve"> PAGE   \* MERGEFORMAT </w:instrText>
    </w:r>
    <w:r>
      <w:fldChar w:fldCharType="separate"/>
    </w:r>
    <w:r w:rsidR="00D902F2">
      <w:rPr>
        <w:noProof/>
      </w:rPr>
      <w:t>1</w:t>
    </w:r>
    <w:r>
      <w:rPr>
        <w:noProof/>
      </w:rPr>
      <w:fldChar w:fldCharType="end"/>
    </w:r>
  </w:p>
  <w:p w:rsidR="00FF175F" w:rsidRDefault="00FF1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371" w:rsidRDefault="00901371">
      <w:r>
        <w:separator/>
      </w:r>
    </w:p>
  </w:footnote>
  <w:footnote w:type="continuationSeparator" w:id="0">
    <w:p w:rsidR="00901371" w:rsidRDefault="00901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B3415"/>
    <w:multiLevelType w:val="hybridMultilevel"/>
    <w:tmpl w:val="3BE64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64601F"/>
    <w:multiLevelType w:val="hybridMultilevel"/>
    <w:tmpl w:val="CFB625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80"/>
    <w:rsid w:val="00014EC2"/>
    <w:rsid w:val="00056102"/>
    <w:rsid w:val="0005687A"/>
    <w:rsid w:val="000C20EB"/>
    <w:rsid w:val="000D7C1A"/>
    <w:rsid w:val="00100378"/>
    <w:rsid w:val="0011207D"/>
    <w:rsid w:val="00121B0F"/>
    <w:rsid w:val="00140103"/>
    <w:rsid w:val="00155CA4"/>
    <w:rsid w:val="00161F73"/>
    <w:rsid w:val="00171B3D"/>
    <w:rsid w:val="00172532"/>
    <w:rsid w:val="001C3D0C"/>
    <w:rsid w:val="001E27F1"/>
    <w:rsid w:val="001F7935"/>
    <w:rsid w:val="00251B1F"/>
    <w:rsid w:val="0027386F"/>
    <w:rsid w:val="00287114"/>
    <w:rsid w:val="002E1C39"/>
    <w:rsid w:val="002F1797"/>
    <w:rsid w:val="00324CF8"/>
    <w:rsid w:val="00326E4C"/>
    <w:rsid w:val="00362FF2"/>
    <w:rsid w:val="00373AC0"/>
    <w:rsid w:val="003763BE"/>
    <w:rsid w:val="003B6D0F"/>
    <w:rsid w:val="003D6887"/>
    <w:rsid w:val="003E26AE"/>
    <w:rsid w:val="004459BD"/>
    <w:rsid w:val="00447614"/>
    <w:rsid w:val="004800BB"/>
    <w:rsid w:val="004840DA"/>
    <w:rsid w:val="00492E4E"/>
    <w:rsid w:val="004971B3"/>
    <w:rsid w:val="004B315E"/>
    <w:rsid w:val="00545DCA"/>
    <w:rsid w:val="00545EAB"/>
    <w:rsid w:val="00576F99"/>
    <w:rsid w:val="005A2973"/>
    <w:rsid w:val="00600CA1"/>
    <w:rsid w:val="006329CC"/>
    <w:rsid w:val="00653335"/>
    <w:rsid w:val="00655673"/>
    <w:rsid w:val="00657069"/>
    <w:rsid w:val="0066127F"/>
    <w:rsid w:val="0069116A"/>
    <w:rsid w:val="00693634"/>
    <w:rsid w:val="00695422"/>
    <w:rsid w:val="006966EE"/>
    <w:rsid w:val="006A052C"/>
    <w:rsid w:val="006A08F2"/>
    <w:rsid w:val="006A0D7A"/>
    <w:rsid w:val="006A0E87"/>
    <w:rsid w:val="006C0585"/>
    <w:rsid w:val="006C6DB4"/>
    <w:rsid w:val="006C6EE1"/>
    <w:rsid w:val="00717782"/>
    <w:rsid w:val="007577D4"/>
    <w:rsid w:val="0079323E"/>
    <w:rsid w:val="00820827"/>
    <w:rsid w:val="0087391B"/>
    <w:rsid w:val="0089476D"/>
    <w:rsid w:val="00901371"/>
    <w:rsid w:val="0090464B"/>
    <w:rsid w:val="00921EA9"/>
    <w:rsid w:val="00933AF8"/>
    <w:rsid w:val="00971056"/>
    <w:rsid w:val="009962E6"/>
    <w:rsid w:val="009E0015"/>
    <w:rsid w:val="009E1105"/>
    <w:rsid w:val="00A67688"/>
    <w:rsid w:val="00A71946"/>
    <w:rsid w:val="00A97F00"/>
    <w:rsid w:val="00AC089C"/>
    <w:rsid w:val="00AD2852"/>
    <w:rsid w:val="00AD62D1"/>
    <w:rsid w:val="00B005DE"/>
    <w:rsid w:val="00B17ABB"/>
    <w:rsid w:val="00B35B65"/>
    <w:rsid w:val="00B67318"/>
    <w:rsid w:val="00B87118"/>
    <w:rsid w:val="00B91DC2"/>
    <w:rsid w:val="00BD7A5C"/>
    <w:rsid w:val="00BF735D"/>
    <w:rsid w:val="00C07DAC"/>
    <w:rsid w:val="00C27142"/>
    <w:rsid w:val="00C31895"/>
    <w:rsid w:val="00C35291"/>
    <w:rsid w:val="00C772AB"/>
    <w:rsid w:val="00C9452C"/>
    <w:rsid w:val="00CF08B3"/>
    <w:rsid w:val="00D20DBA"/>
    <w:rsid w:val="00D21D44"/>
    <w:rsid w:val="00D3204C"/>
    <w:rsid w:val="00D3694E"/>
    <w:rsid w:val="00D72684"/>
    <w:rsid w:val="00D902F2"/>
    <w:rsid w:val="00D9127C"/>
    <w:rsid w:val="00DE17AA"/>
    <w:rsid w:val="00DE58F5"/>
    <w:rsid w:val="00DF197D"/>
    <w:rsid w:val="00E34934"/>
    <w:rsid w:val="00E52AC1"/>
    <w:rsid w:val="00E61F80"/>
    <w:rsid w:val="00E95F06"/>
    <w:rsid w:val="00E9619A"/>
    <w:rsid w:val="00EA1404"/>
    <w:rsid w:val="00EE3D60"/>
    <w:rsid w:val="00F03700"/>
    <w:rsid w:val="00F0579D"/>
    <w:rsid w:val="00F07E8E"/>
    <w:rsid w:val="00F105B4"/>
    <w:rsid w:val="00F34B53"/>
    <w:rsid w:val="00F42431"/>
    <w:rsid w:val="00F63251"/>
    <w:rsid w:val="00F8678E"/>
    <w:rsid w:val="00FB61A6"/>
    <w:rsid w:val="00FF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5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9452C"/>
    <w:rPr>
      <w:sz w:val="20"/>
      <w:szCs w:val="20"/>
    </w:rPr>
  </w:style>
  <w:style w:type="paragraph" w:styleId="BalloonText">
    <w:name w:val="Balloon Text"/>
    <w:basedOn w:val="Normal"/>
    <w:semiHidden/>
    <w:rsid w:val="003763BE"/>
    <w:rPr>
      <w:rFonts w:ascii="Tahoma" w:hAnsi="Tahoma" w:cs="Tahoma"/>
      <w:sz w:val="16"/>
      <w:szCs w:val="16"/>
    </w:rPr>
  </w:style>
  <w:style w:type="paragraph" w:styleId="Header">
    <w:name w:val="header"/>
    <w:basedOn w:val="Normal"/>
    <w:link w:val="HeaderChar"/>
    <w:rsid w:val="00FF175F"/>
    <w:pPr>
      <w:tabs>
        <w:tab w:val="center" w:pos="4680"/>
        <w:tab w:val="right" w:pos="9360"/>
      </w:tabs>
    </w:pPr>
  </w:style>
  <w:style w:type="character" w:customStyle="1" w:styleId="HeaderChar">
    <w:name w:val="Header Char"/>
    <w:link w:val="Header"/>
    <w:rsid w:val="00FF175F"/>
    <w:rPr>
      <w:sz w:val="24"/>
      <w:szCs w:val="24"/>
    </w:rPr>
  </w:style>
  <w:style w:type="paragraph" w:styleId="Footer">
    <w:name w:val="footer"/>
    <w:basedOn w:val="Normal"/>
    <w:link w:val="FooterChar"/>
    <w:uiPriority w:val="99"/>
    <w:rsid w:val="00FF175F"/>
    <w:pPr>
      <w:tabs>
        <w:tab w:val="center" w:pos="4680"/>
        <w:tab w:val="right" w:pos="9360"/>
      </w:tabs>
    </w:pPr>
  </w:style>
  <w:style w:type="character" w:customStyle="1" w:styleId="FooterChar">
    <w:name w:val="Footer Char"/>
    <w:link w:val="Footer"/>
    <w:uiPriority w:val="99"/>
    <w:rsid w:val="00FF175F"/>
    <w:rPr>
      <w:sz w:val="24"/>
      <w:szCs w:val="24"/>
    </w:rPr>
  </w:style>
  <w:style w:type="character" w:styleId="Hyperlink">
    <w:name w:val="Hyperlink"/>
    <w:rsid w:val="00B17ABB"/>
    <w:rPr>
      <w:color w:val="0000FF"/>
      <w:u w:val="single"/>
    </w:rPr>
  </w:style>
  <w:style w:type="paragraph" w:customStyle="1" w:styleId="Default">
    <w:name w:val="Default"/>
    <w:rsid w:val="00287114"/>
    <w:pPr>
      <w:autoSpaceDE w:val="0"/>
      <w:autoSpaceDN w:val="0"/>
      <w:adjustRightInd w:val="0"/>
    </w:pPr>
    <w:rPr>
      <w:color w:val="000000"/>
      <w:sz w:val="24"/>
      <w:szCs w:val="24"/>
    </w:rPr>
  </w:style>
  <w:style w:type="paragraph" w:styleId="ListParagraph">
    <w:name w:val="List Paragraph"/>
    <w:basedOn w:val="Normal"/>
    <w:uiPriority w:val="34"/>
    <w:qFormat/>
    <w:rsid w:val="007577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5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9452C"/>
    <w:rPr>
      <w:sz w:val="20"/>
      <w:szCs w:val="20"/>
    </w:rPr>
  </w:style>
  <w:style w:type="paragraph" w:styleId="BalloonText">
    <w:name w:val="Balloon Text"/>
    <w:basedOn w:val="Normal"/>
    <w:semiHidden/>
    <w:rsid w:val="003763BE"/>
    <w:rPr>
      <w:rFonts w:ascii="Tahoma" w:hAnsi="Tahoma" w:cs="Tahoma"/>
      <w:sz w:val="16"/>
      <w:szCs w:val="16"/>
    </w:rPr>
  </w:style>
  <w:style w:type="paragraph" w:styleId="Header">
    <w:name w:val="header"/>
    <w:basedOn w:val="Normal"/>
    <w:link w:val="HeaderChar"/>
    <w:rsid w:val="00FF175F"/>
    <w:pPr>
      <w:tabs>
        <w:tab w:val="center" w:pos="4680"/>
        <w:tab w:val="right" w:pos="9360"/>
      </w:tabs>
    </w:pPr>
  </w:style>
  <w:style w:type="character" w:customStyle="1" w:styleId="HeaderChar">
    <w:name w:val="Header Char"/>
    <w:link w:val="Header"/>
    <w:rsid w:val="00FF175F"/>
    <w:rPr>
      <w:sz w:val="24"/>
      <w:szCs w:val="24"/>
    </w:rPr>
  </w:style>
  <w:style w:type="paragraph" w:styleId="Footer">
    <w:name w:val="footer"/>
    <w:basedOn w:val="Normal"/>
    <w:link w:val="FooterChar"/>
    <w:uiPriority w:val="99"/>
    <w:rsid w:val="00FF175F"/>
    <w:pPr>
      <w:tabs>
        <w:tab w:val="center" w:pos="4680"/>
        <w:tab w:val="right" w:pos="9360"/>
      </w:tabs>
    </w:pPr>
  </w:style>
  <w:style w:type="character" w:customStyle="1" w:styleId="FooterChar">
    <w:name w:val="Footer Char"/>
    <w:link w:val="Footer"/>
    <w:uiPriority w:val="99"/>
    <w:rsid w:val="00FF175F"/>
    <w:rPr>
      <w:sz w:val="24"/>
      <w:szCs w:val="24"/>
    </w:rPr>
  </w:style>
  <w:style w:type="character" w:styleId="Hyperlink">
    <w:name w:val="Hyperlink"/>
    <w:rsid w:val="00B17ABB"/>
    <w:rPr>
      <w:color w:val="0000FF"/>
      <w:u w:val="single"/>
    </w:rPr>
  </w:style>
  <w:style w:type="paragraph" w:customStyle="1" w:styleId="Default">
    <w:name w:val="Default"/>
    <w:rsid w:val="00287114"/>
    <w:pPr>
      <w:autoSpaceDE w:val="0"/>
      <w:autoSpaceDN w:val="0"/>
      <w:adjustRightInd w:val="0"/>
    </w:pPr>
    <w:rPr>
      <w:color w:val="000000"/>
      <w:sz w:val="24"/>
      <w:szCs w:val="24"/>
    </w:rPr>
  </w:style>
  <w:style w:type="paragraph" w:styleId="ListParagraph">
    <w:name w:val="List Paragraph"/>
    <w:basedOn w:val="Normal"/>
    <w:uiPriority w:val="34"/>
    <w:qFormat/>
    <w:rsid w:val="00757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s.gov/courts/court-info/courthouse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Read-only</vt:lpstr>
    </vt:vector>
  </TitlesOfParts>
  <Company>DET</Company>
  <LinksUpToDate>false</LinksUpToDate>
  <CharactersWithSpaces>9831</CharactersWithSpaces>
  <SharedDoc>false</SharedDoc>
  <HLinks>
    <vt:vector size="6" baseType="variant">
      <vt:variant>
        <vt:i4>1179729</vt:i4>
      </vt:variant>
      <vt:variant>
        <vt:i4>3</vt:i4>
      </vt:variant>
      <vt:variant>
        <vt:i4>0</vt:i4>
      </vt:variant>
      <vt:variant>
        <vt:i4>5</vt:i4>
      </vt:variant>
      <vt:variant>
        <vt:lpwstr>http://www.mass.gov/courts/court-info/courthouses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Read-only</dc:title>
  <dc:creator>DET</dc:creator>
  <cp:lastModifiedBy>MLRI Staff</cp:lastModifiedBy>
  <cp:revision>4</cp:revision>
  <cp:lastPrinted>2015-09-30T19:37:00Z</cp:lastPrinted>
  <dcterms:created xsi:type="dcterms:W3CDTF">2015-09-30T19:38:00Z</dcterms:created>
  <dcterms:modified xsi:type="dcterms:W3CDTF">2017-11-27T18:37:00Z</dcterms:modified>
</cp:coreProperties>
</file>