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95" w:rsidRPr="001D55B1" w:rsidRDefault="001E3695" w:rsidP="001E3695">
      <w:pPr>
        <w:pStyle w:val="NoSpacing"/>
        <w:rPr>
          <w:color w:val="000000" w:themeColor="text1"/>
        </w:rPr>
      </w:pPr>
      <w:bookmarkStart w:id="0" w:name="_GoBack"/>
      <w:bookmarkEnd w:id="0"/>
      <w:r w:rsidRPr="00CE2A0F">
        <w:rPr>
          <w:color w:val="000000" w:themeColor="text1"/>
          <w:highlight w:val="yellow"/>
        </w:rPr>
        <w:t>[DATE]</w:t>
      </w:r>
    </w:p>
    <w:p w:rsidR="001E3695" w:rsidRPr="001D55B1" w:rsidRDefault="001E3695" w:rsidP="001E3695">
      <w:pPr>
        <w:pStyle w:val="NoSpacing"/>
        <w:rPr>
          <w:color w:val="000000" w:themeColor="text1"/>
        </w:rPr>
      </w:pPr>
    </w:p>
    <w:p w:rsidR="001E3695" w:rsidRPr="001D55B1" w:rsidRDefault="001E3695" w:rsidP="001E3695">
      <w:pPr>
        <w:pStyle w:val="NoSpacing"/>
        <w:rPr>
          <w:color w:val="000000" w:themeColor="text1"/>
        </w:rPr>
      </w:pPr>
      <w:r w:rsidRPr="001D55B1">
        <w:rPr>
          <w:color w:val="000000" w:themeColor="text1"/>
        </w:rPr>
        <w:t xml:space="preserve">The Honorable Charles </w:t>
      </w:r>
      <w:proofErr w:type="spellStart"/>
      <w:r w:rsidRPr="001D55B1">
        <w:rPr>
          <w:color w:val="000000" w:themeColor="text1"/>
        </w:rPr>
        <w:t>Rettig</w:t>
      </w:r>
      <w:proofErr w:type="spellEnd"/>
    </w:p>
    <w:p w:rsidR="001E3695" w:rsidRPr="001D55B1" w:rsidRDefault="001E3695" w:rsidP="001E3695">
      <w:pPr>
        <w:pStyle w:val="NoSpacing"/>
        <w:rPr>
          <w:color w:val="000000" w:themeColor="text1"/>
        </w:rPr>
      </w:pPr>
      <w:r w:rsidRPr="001D55B1">
        <w:rPr>
          <w:color w:val="000000" w:themeColor="text1"/>
        </w:rPr>
        <w:t>Commissioner</w:t>
      </w:r>
    </w:p>
    <w:p w:rsidR="001E3695" w:rsidRPr="001D55B1" w:rsidRDefault="001E3695" w:rsidP="001E3695">
      <w:pPr>
        <w:pStyle w:val="NoSpacing"/>
        <w:rPr>
          <w:color w:val="000000" w:themeColor="text1"/>
        </w:rPr>
      </w:pPr>
      <w:r w:rsidRPr="001D55B1">
        <w:rPr>
          <w:color w:val="000000" w:themeColor="text1"/>
        </w:rPr>
        <w:t>Internal Revenue Service</w:t>
      </w:r>
    </w:p>
    <w:p w:rsidR="001E3695" w:rsidRPr="001D55B1" w:rsidRDefault="001E3695" w:rsidP="001E3695">
      <w:pPr>
        <w:pStyle w:val="NoSpacing"/>
        <w:rPr>
          <w:color w:val="000000" w:themeColor="text1"/>
        </w:rPr>
      </w:pPr>
      <w:r w:rsidRPr="001D55B1">
        <w:rPr>
          <w:color w:val="000000" w:themeColor="text1"/>
        </w:rPr>
        <w:t>U.S. Department of the Treasury</w:t>
      </w:r>
    </w:p>
    <w:p w:rsidR="001E3695" w:rsidRPr="001D55B1" w:rsidRDefault="001E3695" w:rsidP="001E3695">
      <w:pPr>
        <w:pStyle w:val="NoSpacing"/>
        <w:rPr>
          <w:color w:val="000000" w:themeColor="text1"/>
        </w:rPr>
      </w:pPr>
      <w:r w:rsidRPr="001D55B1">
        <w:rPr>
          <w:color w:val="000000" w:themeColor="text1"/>
        </w:rPr>
        <w:t>P.O. Box 7604, Ben Franklin Station</w:t>
      </w:r>
    </w:p>
    <w:p w:rsidR="001E3695" w:rsidRPr="001D55B1" w:rsidRDefault="001E3695" w:rsidP="001E3695">
      <w:pPr>
        <w:pStyle w:val="NoSpacing"/>
        <w:rPr>
          <w:color w:val="000000" w:themeColor="text1"/>
        </w:rPr>
      </w:pPr>
      <w:r w:rsidRPr="001D55B1">
        <w:rPr>
          <w:color w:val="000000" w:themeColor="text1"/>
        </w:rPr>
        <w:t xml:space="preserve">Washington, D.C., 20044 </w:t>
      </w:r>
    </w:p>
    <w:p w:rsidR="001E3695" w:rsidRDefault="001E3695" w:rsidP="001E3695">
      <w:pPr>
        <w:pStyle w:val="NoSpacing"/>
        <w:rPr>
          <w:b/>
          <w:color w:val="000000" w:themeColor="text1"/>
        </w:rPr>
      </w:pPr>
    </w:p>
    <w:p w:rsidR="001E3695" w:rsidRPr="001D55B1" w:rsidRDefault="001E3695" w:rsidP="001E3695">
      <w:pPr>
        <w:pStyle w:val="NoSpacing"/>
        <w:rPr>
          <w:b/>
          <w:color w:val="000000" w:themeColor="text1"/>
        </w:rPr>
      </w:pPr>
      <w:r w:rsidRPr="001D55B1">
        <w:rPr>
          <w:b/>
          <w:color w:val="000000" w:themeColor="text1"/>
        </w:rPr>
        <w:t>Re: Affordability of Employer Coverage for Family Members of Employees (REG-114339-21)</w:t>
      </w:r>
    </w:p>
    <w:p w:rsidR="001E3695" w:rsidRPr="001D55B1" w:rsidRDefault="001E3695" w:rsidP="001E3695">
      <w:pPr>
        <w:pStyle w:val="NoSpacing"/>
        <w:rPr>
          <w:color w:val="000000" w:themeColor="text1"/>
        </w:rPr>
      </w:pPr>
    </w:p>
    <w:p w:rsidR="001E3695" w:rsidRDefault="001E3695" w:rsidP="001E3695">
      <w:pPr>
        <w:pStyle w:val="NoSpacing"/>
        <w:rPr>
          <w:color w:val="000000" w:themeColor="text1"/>
        </w:rPr>
      </w:pPr>
      <w:r w:rsidRPr="001D55B1">
        <w:rPr>
          <w:color w:val="000000" w:themeColor="text1"/>
        </w:rPr>
        <w:t xml:space="preserve">Dear Commissioner </w:t>
      </w:r>
      <w:proofErr w:type="spellStart"/>
      <w:r w:rsidRPr="001D55B1">
        <w:rPr>
          <w:color w:val="000000" w:themeColor="text1"/>
        </w:rPr>
        <w:t>Rettig</w:t>
      </w:r>
      <w:proofErr w:type="spellEnd"/>
      <w:r w:rsidRPr="001D55B1">
        <w:rPr>
          <w:color w:val="000000" w:themeColor="text1"/>
        </w:rPr>
        <w:t xml:space="preserve">: </w:t>
      </w:r>
    </w:p>
    <w:p w:rsidR="001E3695" w:rsidRPr="001D55B1" w:rsidRDefault="001E3695" w:rsidP="001E3695">
      <w:pPr>
        <w:pStyle w:val="NoSpacing"/>
        <w:rPr>
          <w:color w:val="000000" w:themeColor="text1"/>
        </w:rPr>
      </w:pPr>
    </w:p>
    <w:p w:rsidR="001E3695" w:rsidRDefault="001E3695" w:rsidP="001E3695">
      <w:pPr>
        <w:rPr>
          <w:color w:val="000000" w:themeColor="text1"/>
        </w:rPr>
      </w:pPr>
      <w:r>
        <w:t>Thank you for the opportunity to provide comments on the proposed rule, ‘</w:t>
      </w:r>
      <w:r w:rsidRPr="004401E4">
        <w:rPr>
          <w:i/>
        </w:rPr>
        <w:t>Affordability of Employer Coverage for Family Members of Employees</w:t>
      </w:r>
      <w:r>
        <w:rPr>
          <w:i/>
        </w:rPr>
        <w:t>.</w:t>
      </w:r>
      <w:r w:rsidRPr="004401E4">
        <w:rPr>
          <w:i/>
        </w:rPr>
        <w:t xml:space="preserve">’ </w:t>
      </w:r>
      <w:r w:rsidRPr="00553576">
        <w:rPr>
          <w:highlight w:val="yellow"/>
        </w:rPr>
        <w:t>[INSERT INFORMATION ABOUT YOUR ORGANIZATION</w:t>
      </w:r>
      <w:r>
        <w:rPr>
          <w:highlight w:val="yellow"/>
        </w:rPr>
        <w:t xml:space="preserve"> AND CONNECTION TO THIS ISSUE</w:t>
      </w:r>
      <w:r w:rsidRPr="00553576">
        <w:rPr>
          <w:highlight w:val="yellow"/>
        </w:rPr>
        <w:t>]</w:t>
      </w:r>
      <w:r>
        <w:t xml:space="preserve">.The current interpretation of the Affordable Care Act (ACA) premium tax credit provisions of the Internal Revenue Code disregard the additional costs families must pay for employer sponsored insurance (ESI) to cover family members relative to an employee-only plan. Amending the current regulation, as proposed, would correct the “family glitch” that unnecessarily restricts eligibility for premium tax credits. </w:t>
      </w:r>
      <w:r>
        <w:rPr>
          <w:b/>
          <w:color w:val="000000" w:themeColor="text1"/>
        </w:rPr>
        <w:t>We</w:t>
      </w:r>
      <w:r w:rsidRPr="00CE2A0F">
        <w:rPr>
          <w:b/>
          <w:color w:val="000000" w:themeColor="text1"/>
        </w:rPr>
        <w:t xml:space="preserve"> strongly support </w:t>
      </w:r>
      <w:r>
        <w:rPr>
          <w:b/>
          <w:color w:val="000000" w:themeColor="text1"/>
        </w:rPr>
        <w:t>the proposed regulatory</w:t>
      </w:r>
      <w:r w:rsidRPr="00CE2A0F">
        <w:rPr>
          <w:b/>
          <w:color w:val="000000" w:themeColor="text1"/>
        </w:rPr>
        <w:t xml:space="preserve"> interpretation of the statute and the </w:t>
      </w:r>
      <w:r>
        <w:rPr>
          <w:b/>
          <w:color w:val="000000" w:themeColor="text1"/>
        </w:rPr>
        <w:t xml:space="preserve">corresponding </w:t>
      </w:r>
      <w:r w:rsidRPr="00CE2A0F">
        <w:rPr>
          <w:b/>
          <w:color w:val="000000" w:themeColor="text1"/>
        </w:rPr>
        <w:t>approach to determining family members’ eligibility for premium tax credits</w:t>
      </w:r>
      <w:r w:rsidRPr="001D55B1">
        <w:rPr>
          <w:color w:val="000000" w:themeColor="text1"/>
        </w:rPr>
        <w:t>.</w:t>
      </w:r>
      <w:r w:rsidR="005C012D">
        <w:rPr>
          <w:color w:val="000000" w:themeColor="text1"/>
        </w:rPr>
        <w:t xml:space="preserve"> </w:t>
      </w:r>
      <w:r>
        <w:rPr>
          <w:color w:val="000000" w:themeColor="text1"/>
        </w:rPr>
        <w:t>T</w:t>
      </w:r>
      <w:r w:rsidRPr="6E7BFB5E">
        <w:rPr>
          <w:color w:val="000000" w:themeColor="text1"/>
        </w:rPr>
        <w:t xml:space="preserve">he interpretation </w:t>
      </w:r>
      <w:r>
        <w:rPr>
          <w:color w:val="000000" w:themeColor="text1"/>
        </w:rPr>
        <w:t xml:space="preserve">applied in this proposed rule is </w:t>
      </w:r>
      <w:r w:rsidRPr="6E7BFB5E">
        <w:rPr>
          <w:color w:val="000000" w:themeColor="text1"/>
        </w:rPr>
        <w:t>consistent with the</w:t>
      </w:r>
      <w:r>
        <w:rPr>
          <w:color w:val="000000" w:themeColor="text1"/>
        </w:rPr>
        <w:t xml:space="preserve"> primary</w:t>
      </w:r>
      <w:r w:rsidRPr="6E7BFB5E">
        <w:rPr>
          <w:color w:val="000000" w:themeColor="text1"/>
        </w:rPr>
        <w:t xml:space="preserve"> goal of the ACA</w:t>
      </w:r>
      <w:r>
        <w:rPr>
          <w:color w:val="000000" w:themeColor="text1"/>
        </w:rPr>
        <w:t xml:space="preserve"> –</w:t>
      </w:r>
      <w:r w:rsidRPr="6E7BFB5E">
        <w:rPr>
          <w:color w:val="000000" w:themeColor="text1"/>
        </w:rPr>
        <w:t xml:space="preserve"> to expand access to affordable coverage.</w:t>
      </w:r>
      <w:r>
        <w:rPr>
          <w:color w:val="000000" w:themeColor="text1"/>
        </w:rPr>
        <w:t xml:space="preserve"> </w:t>
      </w:r>
    </w:p>
    <w:p w:rsidR="001E3695" w:rsidRPr="00E26EEE" w:rsidRDefault="001E3695" w:rsidP="001E3695">
      <w:pPr>
        <w:rPr>
          <w:color w:val="000000" w:themeColor="text1"/>
        </w:rPr>
      </w:pPr>
      <w:r>
        <w:t xml:space="preserve">While Massachusetts has the highest health insurance coverage rate in the country, hundreds of thousands of residents remain uninsured. The change proposed in this rule would help connect many of the remaining uninsured – and insured families struggling with high health care costs – to affordable coverage. </w:t>
      </w:r>
      <w:r>
        <w:rPr>
          <w:color w:val="000000" w:themeColor="text1"/>
        </w:rPr>
        <w:t>This affects an estimated 44,000 Massachusetts residents</w:t>
      </w:r>
      <w:r>
        <w:rPr>
          <w:rStyle w:val="FootnoteReference"/>
          <w:color w:val="000000" w:themeColor="text1"/>
        </w:rPr>
        <w:footnoteReference w:id="1"/>
      </w:r>
      <w:r>
        <w:rPr>
          <w:color w:val="000000" w:themeColor="text1"/>
        </w:rPr>
        <w:t xml:space="preserve"> and </w:t>
      </w:r>
      <w:r w:rsidRPr="001D55B1">
        <w:rPr>
          <w:color w:val="000000" w:themeColor="text1"/>
        </w:rPr>
        <w:t xml:space="preserve">as many as 5.1 million people </w:t>
      </w:r>
      <w:r>
        <w:rPr>
          <w:color w:val="000000" w:themeColor="text1"/>
        </w:rPr>
        <w:t>nationally</w:t>
      </w:r>
      <w:r w:rsidRPr="001D55B1">
        <w:rPr>
          <w:rStyle w:val="FootnoteReference"/>
          <w:color w:val="000000" w:themeColor="text1"/>
        </w:rPr>
        <w:footnoteReference w:id="2"/>
      </w:r>
      <w:r>
        <w:rPr>
          <w:color w:val="000000" w:themeColor="text1"/>
        </w:rPr>
        <w:t xml:space="preserve"> </w:t>
      </w:r>
      <w:r w:rsidRPr="001D55B1">
        <w:rPr>
          <w:color w:val="000000" w:themeColor="text1"/>
        </w:rPr>
        <w:t>who are barred from obtaining premium tax credits because “affordable” coverage</w:t>
      </w:r>
      <w:r>
        <w:rPr>
          <w:color w:val="000000" w:themeColor="text1"/>
        </w:rPr>
        <w:t xml:space="preserve"> is</w:t>
      </w:r>
      <w:r w:rsidRPr="001D55B1">
        <w:rPr>
          <w:color w:val="000000" w:themeColor="text1"/>
        </w:rPr>
        <w:t xml:space="preserve"> based only on the cost to cover the employee. </w:t>
      </w:r>
      <w:r>
        <w:rPr>
          <w:color w:val="000000" w:themeColor="text1"/>
        </w:rPr>
        <w:t>Many of the individuals currently barred from receiving tax credits remain uninsured because they cannot afford to enroll in the employer-offered coverage</w:t>
      </w:r>
      <w:r w:rsidRPr="001D55B1">
        <w:rPr>
          <w:color w:val="000000" w:themeColor="text1"/>
        </w:rPr>
        <w:t>.</w:t>
      </w:r>
      <w:r w:rsidRPr="001D55B1">
        <w:rPr>
          <w:rStyle w:val="FootnoteReference"/>
          <w:color w:val="000000" w:themeColor="text1"/>
        </w:rPr>
        <w:footnoteReference w:id="3"/>
      </w:r>
    </w:p>
    <w:p w:rsidR="001E3695" w:rsidRPr="00121842" w:rsidRDefault="001E3695" w:rsidP="001E3695">
      <w:r w:rsidRPr="00121842">
        <w:rPr>
          <w:color w:val="000000" w:themeColor="text1"/>
          <w:highlight w:val="yellow"/>
        </w:rPr>
        <w:t xml:space="preserve">[Insert any </w:t>
      </w:r>
      <w:r>
        <w:rPr>
          <w:color w:val="000000" w:themeColor="text1"/>
          <w:highlight w:val="yellow"/>
        </w:rPr>
        <w:t>stories of families</w:t>
      </w:r>
      <w:r w:rsidRPr="00CE2A0F">
        <w:rPr>
          <w:color w:val="000000" w:themeColor="text1"/>
          <w:highlight w:val="yellow"/>
        </w:rPr>
        <w:t xml:space="preserve"> </w:t>
      </w:r>
      <w:r>
        <w:rPr>
          <w:color w:val="000000" w:themeColor="text1"/>
          <w:highlight w:val="yellow"/>
        </w:rPr>
        <w:t xml:space="preserve">that </w:t>
      </w:r>
      <w:r w:rsidRPr="00CE2A0F">
        <w:rPr>
          <w:color w:val="000000" w:themeColor="text1"/>
          <w:highlight w:val="yellow"/>
        </w:rPr>
        <w:t>you know were affected by the family glitch</w:t>
      </w:r>
      <w:r>
        <w:rPr>
          <w:color w:val="000000" w:themeColor="text1"/>
          <w:highlight w:val="yellow"/>
        </w:rPr>
        <w:t xml:space="preserve"> –delete if you do not have one</w:t>
      </w:r>
      <w:r w:rsidRPr="00121842">
        <w:rPr>
          <w:color w:val="000000" w:themeColor="text1"/>
          <w:highlight w:val="yellow"/>
        </w:rPr>
        <w:t>]</w:t>
      </w:r>
    </w:p>
    <w:p w:rsidR="0034088A" w:rsidRDefault="001E3695">
      <w:r>
        <w:rPr>
          <w:rFonts w:eastAsia="Times New Roman" w:cs="Times New Roman"/>
          <w:color w:val="000000" w:themeColor="text1"/>
        </w:rPr>
        <w:t xml:space="preserve">Furthering access to affordable health insurance is an equity issue. According to a 2020 </w:t>
      </w:r>
      <w:proofErr w:type="spellStart"/>
      <w:r>
        <w:rPr>
          <w:rFonts w:eastAsia="Times New Roman" w:cs="Times New Roman"/>
          <w:color w:val="000000" w:themeColor="text1"/>
        </w:rPr>
        <w:t>MassINC</w:t>
      </w:r>
      <w:proofErr w:type="spellEnd"/>
      <w:r>
        <w:rPr>
          <w:rFonts w:eastAsia="Times New Roman" w:cs="Times New Roman"/>
          <w:color w:val="000000" w:themeColor="text1"/>
        </w:rPr>
        <w:t xml:space="preserve"> Polling Group survey, Black and </w:t>
      </w:r>
      <w:proofErr w:type="spellStart"/>
      <w:r>
        <w:rPr>
          <w:rFonts w:eastAsia="Times New Roman" w:cs="Times New Roman"/>
          <w:color w:val="000000" w:themeColor="text1"/>
        </w:rPr>
        <w:t>Latinx</w:t>
      </w:r>
      <w:proofErr w:type="spellEnd"/>
      <w:r>
        <w:rPr>
          <w:rFonts w:eastAsia="Times New Roman" w:cs="Times New Roman"/>
          <w:color w:val="000000" w:themeColor="text1"/>
        </w:rPr>
        <w:t xml:space="preserve"> Massachusetts residents overwhelmingly (72% and 67% respectively) </w:t>
      </w:r>
      <w:r>
        <w:rPr>
          <w:rFonts w:eastAsia="Times New Roman" w:cs="Times New Roman"/>
          <w:color w:val="000000" w:themeColor="text1"/>
        </w:rPr>
        <w:lastRenderedPageBreak/>
        <w:t>report affordability of health coverage being their top priority.</w:t>
      </w:r>
      <w:r>
        <w:rPr>
          <w:rStyle w:val="FootnoteReference"/>
          <w:rFonts w:eastAsia="Times New Roman" w:cs="Times New Roman"/>
          <w:color w:val="000000" w:themeColor="text1"/>
        </w:rPr>
        <w:footnoteReference w:id="4"/>
      </w:r>
      <w:r>
        <w:rPr>
          <w:rFonts w:eastAsia="Times New Roman" w:cs="Times New Roman"/>
          <w:color w:val="000000" w:themeColor="text1"/>
        </w:rPr>
        <w:t xml:space="preserve"> </w:t>
      </w:r>
      <w:r w:rsidRPr="001D55B1">
        <w:rPr>
          <w:rFonts w:eastAsia="Times New Roman" w:cs="Times New Roman"/>
          <w:color w:val="000000" w:themeColor="text1"/>
        </w:rPr>
        <w:t>The family glitch</w:t>
      </w:r>
      <w:r>
        <w:rPr>
          <w:rFonts w:eastAsia="Times New Roman" w:cs="Times New Roman"/>
          <w:color w:val="000000" w:themeColor="text1"/>
        </w:rPr>
        <w:t xml:space="preserve"> also </w:t>
      </w:r>
      <w:r w:rsidRPr="001D55B1">
        <w:rPr>
          <w:rFonts w:eastAsia="Times New Roman" w:cs="Times New Roman"/>
          <w:color w:val="000000" w:themeColor="text1"/>
        </w:rPr>
        <w:t>has a greater impact on low-income families, but it is also a problem for middle-income families.</w:t>
      </w:r>
      <w:r w:rsidRPr="001E3695">
        <w:rPr>
          <w:rFonts w:eastAsia="Times New Roman" w:cs="Times New Roman"/>
          <w:color w:val="000000" w:themeColor="text1"/>
        </w:rPr>
        <w:t xml:space="preserve"> </w:t>
      </w:r>
      <w:r w:rsidRPr="001D55B1">
        <w:rPr>
          <w:rFonts w:eastAsia="Times New Roman" w:cs="Times New Roman"/>
          <w:color w:val="000000" w:themeColor="text1"/>
        </w:rPr>
        <w:t>Low-income families</w:t>
      </w:r>
      <w:r>
        <w:rPr>
          <w:rFonts w:eastAsia="Times New Roman" w:cs="Times New Roman"/>
          <w:color w:val="000000" w:themeColor="text1"/>
        </w:rPr>
        <w:t xml:space="preserve"> in Massachusetts with incomes under 300% FPL</w:t>
      </w:r>
      <w:r w:rsidRPr="001D55B1">
        <w:rPr>
          <w:rFonts w:eastAsia="Times New Roman" w:cs="Times New Roman"/>
          <w:color w:val="000000" w:themeColor="text1"/>
        </w:rPr>
        <w:t xml:space="preserve"> would also see significant savings in out-of-pocket costs</w:t>
      </w:r>
      <w:r>
        <w:rPr>
          <w:rFonts w:eastAsia="Times New Roman" w:cs="Times New Roman"/>
          <w:color w:val="000000" w:themeColor="text1"/>
        </w:rPr>
        <w:t xml:space="preserve"> through the state’s ConnectorCare program. ConnectorCare uses state funds to provide additional subsidies on top of federal premium tax credits and cost-sharing limits. </w:t>
      </w:r>
      <w:r w:rsidR="00A241D7">
        <w:rPr>
          <w:rFonts w:eastAsia="Times New Roman" w:cs="Times New Roman"/>
          <w:color w:val="000000" w:themeColor="text1"/>
        </w:rPr>
        <w:t>Fixing the family glitch</w:t>
      </w:r>
      <w:r w:rsidR="00A241D7" w:rsidRPr="001D55B1">
        <w:rPr>
          <w:rFonts w:eastAsia="Times New Roman" w:cs="Times New Roman"/>
          <w:color w:val="000000" w:themeColor="text1"/>
        </w:rPr>
        <w:t xml:space="preserve"> could mean thousands of dollars in cost-sharing savings for </w:t>
      </w:r>
      <w:r w:rsidR="00A241D7">
        <w:rPr>
          <w:rFonts w:eastAsia="Times New Roman" w:cs="Times New Roman"/>
          <w:color w:val="000000" w:themeColor="text1"/>
        </w:rPr>
        <w:t xml:space="preserve">these </w:t>
      </w:r>
      <w:r w:rsidR="00A241D7" w:rsidRPr="001D55B1">
        <w:rPr>
          <w:rFonts w:eastAsia="Times New Roman" w:cs="Times New Roman"/>
          <w:color w:val="000000" w:themeColor="text1"/>
        </w:rPr>
        <w:t>families.</w:t>
      </w:r>
      <w:r w:rsidR="00A241D7" w:rsidRPr="001D55B1">
        <w:rPr>
          <w:rStyle w:val="FootnoteReference"/>
          <w:rFonts w:eastAsia="Times New Roman" w:cs="Times New Roman"/>
          <w:color w:val="000000" w:themeColor="text1"/>
        </w:rPr>
        <w:footnoteReference w:id="5"/>
      </w:r>
      <w:r w:rsidR="00A241D7">
        <w:rPr>
          <w:rFonts w:eastAsia="Times New Roman" w:cs="Times New Roman"/>
          <w:color w:val="000000" w:themeColor="text1"/>
        </w:rPr>
        <w:t xml:space="preserve"> </w:t>
      </w:r>
      <w:r w:rsidRPr="001D55B1">
        <w:rPr>
          <w:rFonts w:eastAsia="Times New Roman" w:cs="Times New Roman"/>
          <w:color w:val="000000" w:themeColor="text1"/>
        </w:rPr>
        <w:t xml:space="preserve"> </w:t>
      </w:r>
    </w:p>
    <w:p w:rsidR="00A241D7" w:rsidRDefault="00A241D7">
      <w:pPr>
        <w:rPr>
          <w:color w:val="000000" w:themeColor="text1"/>
        </w:rPr>
      </w:pPr>
      <w:r w:rsidRPr="00A241D7">
        <w:rPr>
          <w:color w:val="000000" w:themeColor="text1"/>
        </w:rPr>
        <w:t xml:space="preserve">The proposed rule also addresses the cost-sharing </w:t>
      </w:r>
      <w:r>
        <w:rPr>
          <w:color w:val="000000" w:themeColor="text1"/>
        </w:rPr>
        <w:t xml:space="preserve">associated with </w:t>
      </w:r>
      <w:r w:rsidRPr="00A241D7">
        <w:rPr>
          <w:color w:val="000000" w:themeColor="text1"/>
        </w:rPr>
        <w:t>family plans</w:t>
      </w:r>
      <w:r>
        <w:rPr>
          <w:color w:val="000000" w:themeColor="text1"/>
        </w:rPr>
        <w:t xml:space="preserve"> making coverage more accessible</w:t>
      </w:r>
      <w:r w:rsidRPr="00A241D7">
        <w:rPr>
          <w:color w:val="000000" w:themeColor="text1"/>
        </w:rPr>
        <w:t>.</w:t>
      </w:r>
      <w:r>
        <w:rPr>
          <w:b/>
          <w:color w:val="000000" w:themeColor="text1"/>
        </w:rPr>
        <w:t xml:space="preserve"> </w:t>
      </w:r>
      <w:r w:rsidR="001E3695" w:rsidRPr="00CE2A0F">
        <w:rPr>
          <w:b/>
          <w:color w:val="000000" w:themeColor="text1"/>
        </w:rPr>
        <w:t>We support th</w:t>
      </w:r>
      <w:r w:rsidR="001E3695">
        <w:rPr>
          <w:b/>
          <w:color w:val="000000" w:themeColor="text1"/>
        </w:rPr>
        <w:t>e</w:t>
      </w:r>
      <w:r w:rsidR="001E3695" w:rsidRPr="00CE2A0F">
        <w:rPr>
          <w:b/>
          <w:color w:val="000000" w:themeColor="text1"/>
        </w:rPr>
        <w:t xml:space="preserve"> proposed </w:t>
      </w:r>
      <w:r w:rsidR="001E3695">
        <w:rPr>
          <w:b/>
          <w:color w:val="000000" w:themeColor="text1"/>
        </w:rPr>
        <w:t>definition and language changes</w:t>
      </w:r>
      <w:r w:rsidR="001E3695" w:rsidRPr="00CE2A0F">
        <w:rPr>
          <w:b/>
          <w:color w:val="000000" w:themeColor="text1"/>
        </w:rPr>
        <w:t xml:space="preserve"> clarifying that the minimum value requirement should, like the affordability test, be applied separately for employees and family members.</w:t>
      </w:r>
      <w:r w:rsidR="001E3695" w:rsidRPr="001D55B1">
        <w:rPr>
          <w:color w:val="000000" w:themeColor="text1"/>
        </w:rPr>
        <w:t xml:space="preserve"> </w:t>
      </w:r>
      <w:r w:rsidR="001E3695">
        <w:rPr>
          <w:color w:val="000000" w:themeColor="text1"/>
        </w:rPr>
        <w:t>T</w:t>
      </w:r>
      <w:r w:rsidR="001E3695" w:rsidRPr="001D55B1">
        <w:rPr>
          <w:color w:val="000000" w:themeColor="text1"/>
        </w:rPr>
        <w:t xml:space="preserve">his clarification will ensure </w:t>
      </w:r>
      <w:r w:rsidR="001E3695">
        <w:rPr>
          <w:color w:val="000000" w:themeColor="text1"/>
        </w:rPr>
        <w:t xml:space="preserve">that </w:t>
      </w:r>
      <w:r w:rsidR="001E3695" w:rsidRPr="001D55B1">
        <w:rPr>
          <w:color w:val="000000" w:themeColor="text1"/>
        </w:rPr>
        <w:t xml:space="preserve">family members are not barred from premium tax credits </w:t>
      </w:r>
      <w:r w:rsidR="001E3695">
        <w:rPr>
          <w:color w:val="000000" w:themeColor="text1"/>
        </w:rPr>
        <w:t>due to</w:t>
      </w:r>
      <w:r w:rsidR="001E3695" w:rsidRPr="001D55B1">
        <w:rPr>
          <w:color w:val="000000" w:themeColor="text1"/>
        </w:rPr>
        <w:t xml:space="preserve"> coverage that is affordable</w:t>
      </w:r>
      <w:r w:rsidR="001E3695">
        <w:rPr>
          <w:color w:val="000000" w:themeColor="text1"/>
        </w:rPr>
        <w:t>,</w:t>
      </w:r>
      <w:r w:rsidR="001E3695" w:rsidRPr="001D55B1">
        <w:rPr>
          <w:color w:val="000000" w:themeColor="text1"/>
        </w:rPr>
        <w:t xml:space="preserve"> but fails to provide minimum value</w:t>
      </w:r>
      <w:r>
        <w:rPr>
          <w:color w:val="000000" w:themeColor="text1"/>
        </w:rPr>
        <w:t xml:space="preserve"> with high deductible plans</w:t>
      </w:r>
      <w:r w:rsidR="001E3695" w:rsidRPr="001D55B1">
        <w:rPr>
          <w:color w:val="000000" w:themeColor="text1"/>
        </w:rPr>
        <w:t>.</w:t>
      </w:r>
    </w:p>
    <w:p w:rsidR="00A241D7" w:rsidRDefault="00A241D7" w:rsidP="00A241D7">
      <w:pPr>
        <w:rPr>
          <w:color w:val="000000" w:themeColor="text1"/>
        </w:rPr>
      </w:pPr>
      <w:r>
        <w:rPr>
          <w:color w:val="000000" w:themeColor="text1"/>
        </w:rPr>
        <w:t>The IRS’s proposed rule will help expand access to affordable coverage to</w:t>
      </w:r>
      <w:r w:rsidRPr="001D55B1">
        <w:rPr>
          <w:color w:val="000000" w:themeColor="text1"/>
        </w:rPr>
        <w:t xml:space="preserve"> millions of </w:t>
      </w:r>
      <w:r>
        <w:rPr>
          <w:color w:val="000000" w:themeColor="text1"/>
        </w:rPr>
        <w:t>families</w:t>
      </w:r>
      <w:r w:rsidRPr="001D55B1">
        <w:rPr>
          <w:color w:val="000000" w:themeColor="text1"/>
        </w:rPr>
        <w:t xml:space="preserve"> </w:t>
      </w:r>
      <w:r>
        <w:rPr>
          <w:color w:val="000000" w:themeColor="text1"/>
        </w:rPr>
        <w:t xml:space="preserve">who </w:t>
      </w:r>
      <w:r w:rsidRPr="001D55B1">
        <w:rPr>
          <w:color w:val="000000" w:themeColor="text1"/>
        </w:rPr>
        <w:t xml:space="preserve">will no longer be forced to choose between unaffordable employer coverage and </w:t>
      </w:r>
      <w:r>
        <w:rPr>
          <w:color w:val="000000" w:themeColor="text1"/>
        </w:rPr>
        <w:t xml:space="preserve">unaffordable </w:t>
      </w:r>
      <w:r w:rsidRPr="001D55B1">
        <w:rPr>
          <w:color w:val="000000" w:themeColor="text1"/>
        </w:rPr>
        <w:t xml:space="preserve">unsubsidized marketplace coverage. Families will be able to choose the coverage option that works best for </w:t>
      </w:r>
      <w:r>
        <w:rPr>
          <w:color w:val="000000" w:themeColor="text1"/>
        </w:rPr>
        <w:t>them</w:t>
      </w:r>
      <w:r w:rsidRPr="001D55B1">
        <w:rPr>
          <w:color w:val="000000" w:themeColor="text1"/>
        </w:rPr>
        <w:t xml:space="preserve">, whether that be to </w:t>
      </w:r>
      <w:r>
        <w:rPr>
          <w:color w:val="000000" w:themeColor="text1"/>
        </w:rPr>
        <w:t>enroll in an</w:t>
      </w:r>
      <w:r w:rsidRPr="001D55B1">
        <w:rPr>
          <w:color w:val="000000" w:themeColor="text1"/>
        </w:rPr>
        <w:t xml:space="preserve"> employer plan or to obtain marketplace coverage, with financial assistance, for those family members for whom the employer plan would be unaffordable. </w:t>
      </w:r>
    </w:p>
    <w:p w:rsidR="00A241D7" w:rsidRDefault="00A241D7" w:rsidP="00A241D7">
      <w:pPr>
        <w:rPr>
          <w:color w:val="000000" w:themeColor="text1"/>
        </w:rPr>
      </w:pPr>
    </w:p>
    <w:p w:rsidR="00A241D7" w:rsidRPr="001D55B1" w:rsidRDefault="00A241D7" w:rsidP="00A241D7">
      <w:pPr>
        <w:rPr>
          <w:color w:val="000000" w:themeColor="text1"/>
        </w:rPr>
      </w:pPr>
      <w:r w:rsidRPr="001D55B1">
        <w:rPr>
          <w:color w:val="000000" w:themeColor="text1"/>
        </w:rPr>
        <w:t>Thank you for this opportunity to comment.</w:t>
      </w:r>
    </w:p>
    <w:p w:rsidR="00A241D7" w:rsidRPr="001D55B1" w:rsidRDefault="00A241D7" w:rsidP="00A241D7">
      <w:pPr>
        <w:rPr>
          <w:color w:val="000000" w:themeColor="text1"/>
        </w:rPr>
      </w:pPr>
      <w:r w:rsidRPr="00CE2A0F">
        <w:rPr>
          <w:color w:val="000000" w:themeColor="text1"/>
          <w:highlight w:val="yellow"/>
        </w:rPr>
        <w:t>[Signature]</w:t>
      </w:r>
    </w:p>
    <w:p w:rsidR="00A241D7" w:rsidRPr="001D55B1" w:rsidRDefault="00A241D7" w:rsidP="00A241D7">
      <w:pPr>
        <w:rPr>
          <w:color w:val="000000" w:themeColor="text1"/>
        </w:rPr>
      </w:pPr>
    </w:p>
    <w:p w:rsidR="00A241D7" w:rsidRDefault="00A241D7"/>
    <w:sectPr w:rsidR="00A241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FF" w:rsidRDefault="00B137FF" w:rsidP="001E3695">
      <w:pPr>
        <w:spacing w:after="0" w:line="240" w:lineRule="auto"/>
      </w:pPr>
      <w:r>
        <w:separator/>
      </w:r>
    </w:p>
  </w:endnote>
  <w:endnote w:type="continuationSeparator" w:id="0">
    <w:p w:rsidR="00B137FF" w:rsidRDefault="00B137FF" w:rsidP="001E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FF" w:rsidRDefault="00B137FF" w:rsidP="001E3695">
      <w:pPr>
        <w:spacing w:after="0" w:line="240" w:lineRule="auto"/>
      </w:pPr>
      <w:r>
        <w:separator/>
      </w:r>
    </w:p>
  </w:footnote>
  <w:footnote w:type="continuationSeparator" w:id="0">
    <w:p w:rsidR="00B137FF" w:rsidRDefault="00B137FF" w:rsidP="001E3695">
      <w:pPr>
        <w:spacing w:after="0" w:line="240" w:lineRule="auto"/>
      </w:pPr>
      <w:r>
        <w:continuationSeparator/>
      </w:r>
    </w:p>
  </w:footnote>
  <w:footnote w:id="1">
    <w:p w:rsidR="001E3695" w:rsidRPr="001E4864" w:rsidRDefault="001E3695" w:rsidP="001E3695">
      <w:pPr>
        <w:pStyle w:val="FootnoteText"/>
        <w:rPr>
          <w:sz w:val="20"/>
        </w:rPr>
      </w:pPr>
      <w:r>
        <w:rPr>
          <w:rStyle w:val="FootnoteReference"/>
        </w:rPr>
        <w:footnoteRef/>
      </w:r>
      <w:r>
        <w:t xml:space="preserve"> </w:t>
      </w:r>
      <w:r w:rsidRPr="001E4864">
        <w:rPr>
          <w:sz w:val="20"/>
        </w:rPr>
        <w:t xml:space="preserve">Matthew </w:t>
      </w:r>
      <w:proofErr w:type="spellStart"/>
      <w:r w:rsidRPr="001E4864">
        <w:rPr>
          <w:sz w:val="20"/>
        </w:rPr>
        <w:t>Buettgens</w:t>
      </w:r>
      <w:proofErr w:type="spellEnd"/>
      <w:r w:rsidRPr="001E4864">
        <w:rPr>
          <w:sz w:val="20"/>
        </w:rPr>
        <w:t xml:space="preserve"> and Jessica </w:t>
      </w:r>
      <w:proofErr w:type="spellStart"/>
      <w:r w:rsidRPr="001E4864">
        <w:rPr>
          <w:sz w:val="20"/>
        </w:rPr>
        <w:t>Banthin</w:t>
      </w:r>
      <w:proofErr w:type="spellEnd"/>
      <w:r w:rsidRPr="001E4864">
        <w:rPr>
          <w:sz w:val="20"/>
        </w:rPr>
        <w:t>, “Changing the “Family Glitch” Would Make</w:t>
      </w:r>
    </w:p>
    <w:p w:rsidR="001E3695" w:rsidRDefault="001E3695" w:rsidP="001E3695">
      <w:pPr>
        <w:pStyle w:val="FootnoteText"/>
      </w:pPr>
      <w:r w:rsidRPr="001E4864">
        <w:rPr>
          <w:sz w:val="20"/>
        </w:rPr>
        <w:t>Health Coverage More Affordable for Many Families,”</w:t>
      </w:r>
      <w:r>
        <w:rPr>
          <w:sz w:val="20"/>
        </w:rPr>
        <w:t xml:space="preserve"> Urban Institute, May, 2021, accessed at </w:t>
      </w:r>
      <w:hyperlink r:id="rId1" w:history="1">
        <w:r w:rsidRPr="00201F89">
          <w:rPr>
            <w:rStyle w:val="Hyperlink"/>
            <w:sz w:val="20"/>
          </w:rPr>
          <w:t>https://www.urban.org/sites/default/files/publication/104223/changing-the-family-glitch-would-make-health-coverage-more-affordable-for-many-families_1.pdf</w:t>
        </w:r>
      </w:hyperlink>
      <w:r>
        <w:rPr>
          <w:sz w:val="20"/>
        </w:rPr>
        <w:t xml:space="preserve"> </w:t>
      </w:r>
    </w:p>
  </w:footnote>
  <w:footnote w:id="2">
    <w:p w:rsidR="001E3695" w:rsidRPr="005A01F2" w:rsidRDefault="001E3695" w:rsidP="001E3695">
      <w:pPr>
        <w:pStyle w:val="FootnoteText"/>
        <w:rPr>
          <w:sz w:val="20"/>
          <w:szCs w:val="20"/>
        </w:rPr>
      </w:pPr>
      <w:r>
        <w:rPr>
          <w:rStyle w:val="FootnoteReference"/>
        </w:rPr>
        <w:footnoteRef/>
      </w:r>
      <w:r w:rsidRPr="005A01F2">
        <w:rPr>
          <w:sz w:val="20"/>
          <w:szCs w:val="20"/>
        </w:rPr>
        <w:t xml:space="preserve">Cynthia Cox, </w:t>
      </w:r>
      <w:proofErr w:type="spellStart"/>
      <w:r w:rsidRPr="005A01F2">
        <w:rPr>
          <w:sz w:val="20"/>
          <w:szCs w:val="20"/>
        </w:rPr>
        <w:t>Krutika</w:t>
      </w:r>
      <w:proofErr w:type="spellEnd"/>
      <w:r w:rsidRPr="005A01F2">
        <w:rPr>
          <w:sz w:val="20"/>
          <w:szCs w:val="20"/>
        </w:rPr>
        <w:t xml:space="preserve"> Amin, Gary Claxton, and Daniel McDermott, “The ACA Family Glitch and Affordability of Employer Coverage,” KFF, Apr. 7, 2021, accessed at </w:t>
      </w:r>
      <w:hyperlink r:id="rId2" w:history="1">
        <w:r w:rsidRPr="005A01F2">
          <w:rPr>
            <w:rStyle w:val="Hyperlink"/>
            <w:sz w:val="20"/>
            <w:szCs w:val="20"/>
          </w:rPr>
          <w:t>https://www.kff.org/health-reform/issue-brief/the-aca-family-glitch-and-affordability-of-employer-coverage/</w:t>
        </w:r>
      </w:hyperlink>
      <w:r w:rsidRPr="005A01F2">
        <w:rPr>
          <w:sz w:val="20"/>
          <w:szCs w:val="20"/>
        </w:rPr>
        <w:t xml:space="preserve"> </w:t>
      </w:r>
    </w:p>
  </w:footnote>
  <w:footnote w:id="3">
    <w:p w:rsidR="001E3695" w:rsidRPr="005A01F2" w:rsidRDefault="001E3695" w:rsidP="001E3695">
      <w:pPr>
        <w:pStyle w:val="FootnoteText"/>
        <w:rPr>
          <w:sz w:val="20"/>
          <w:szCs w:val="20"/>
        </w:rPr>
      </w:pPr>
      <w:r w:rsidRPr="005A01F2">
        <w:rPr>
          <w:rStyle w:val="FootnoteReference"/>
          <w:sz w:val="20"/>
          <w:szCs w:val="20"/>
        </w:rPr>
        <w:footnoteRef/>
      </w:r>
      <w:r w:rsidRPr="005A01F2">
        <w:rPr>
          <w:sz w:val="20"/>
          <w:szCs w:val="20"/>
        </w:rPr>
        <w:t xml:space="preserve"> Ibid.</w:t>
      </w:r>
    </w:p>
  </w:footnote>
  <w:footnote w:id="4">
    <w:p w:rsidR="001E3695" w:rsidRDefault="001E3695" w:rsidP="001E3695">
      <w:pPr>
        <w:pStyle w:val="FootnoteText"/>
      </w:pPr>
      <w:r>
        <w:rPr>
          <w:rStyle w:val="FootnoteReference"/>
        </w:rPr>
        <w:footnoteRef/>
      </w:r>
      <w:r>
        <w:rPr>
          <w:sz w:val="20"/>
          <w:szCs w:val="20"/>
        </w:rPr>
        <w:t xml:space="preserve">The </w:t>
      </w:r>
      <w:proofErr w:type="spellStart"/>
      <w:r>
        <w:rPr>
          <w:sz w:val="20"/>
          <w:szCs w:val="20"/>
        </w:rPr>
        <w:t>MassINC</w:t>
      </w:r>
      <w:proofErr w:type="spellEnd"/>
      <w:r>
        <w:rPr>
          <w:sz w:val="20"/>
          <w:szCs w:val="20"/>
        </w:rPr>
        <w:t xml:space="preserve"> polling Group,</w:t>
      </w:r>
      <w:r w:rsidRPr="00F32325">
        <w:rPr>
          <w:sz w:val="20"/>
          <w:szCs w:val="20"/>
        </w:rPr>
        <w:t xml:space="preserve"> </w:t>
      </w:r>
      <w:r>
        <w:rPr>
          <w:sz w:val="20"/>
          <w:szCs w:val="20"/>
        </w:rPr>
        <w:t xml:space="preserve">“ </w:t>
      </w:r>
      <w:r w:rsidRPr="00F32325">
        <w:rPr>
          <w:sz w:val="20"/>
          <w:szCs w:val="20"/>
        </w:rPr>
        <w:t>Massachusetts State Budget Issues Survey</w:t>
      </w:r>
      <w:r>
        <w:rPr>
          <w:sz w:val="20"/>
          <w:szCs w:val="20"/>
        </w:rPr>
        <w:t xml:space="preserve">,” Jan. 13, 2021, accessed at </w:t>
      </w:r>
      <w:hyperlink r:id="rId3" w:history="1">
        <w:r w:rsidRPr="00F32325">
          <w:rPr>
            <w:rStyle w:val="Hyperlink"/>
            <w:sz w:val="20"/>
            <w:szCs w:val="20"/>
          </w:rPr>
          <w:t>https://www.massincpolling.com/the-topline/state-budget-poll</w:t>
        </w:r>
      </w:hyperlink>
      <w:r>
        <w:t xml:space="preserve"> </w:t>
      </w:r>
    </w:p>
  </w:footnote>
  <w:footnote w:id="5">
    <w:p w:rsidR="00A241D7" w:rsidRDefault="00A241D7" w:rsidP="00A241D7">
      <w:pPr>
        <w:pStyle w:val="FootnoteText"/>
      </w:pPr>
      <w:r w:rsidRPr="005A01F2">
        <w:rPr>
          <w:rStyle w:val="FootnoteReference"/>
          <w:sz w:val="20"/>
          <w:szCs w:val="20"/>
        </w:rPr>
        <w:footnoteRef/>
      </w:r>
      <w:r w:rsidRPr="005A01F2">
        <w:rPr>
          <w:sz w:val="20"/>
          <w:szCs w:val="20"/>
        </w:rPr>
        <w:t xml:space="preserve"> </w:t>
      </w:r>
      <w:r w:rsidRPr="005A01F2">
        <w:rPr>
          <w:rFonts w:cs="Arial"/>
          <w:bCs/>
          <w:sz w:val="20"/>
          <w:szCs w:val="20"/>
        </w:rPr>
        <w:t xml:space="preserve">Dania </w:t>
      </w:r>
      <w:proofErr w:type="spellStart"/>
      <w:r w:rsidRPr="005A01F2">
        <w:rPr>
          <w:rFonts w:cs="Arial"/>
          <w:bCs/>
          <w:sz w:val="20"/>
          <w:szCs w:val="20"/>
        </w:rPr>
        <w:t>Palanker</w:t>
      </w:r>
      <w:proofErr w:type="spellEnd"/>
      <w:r w:rsidRPr="005A01F2">
        <w:rPr>
          <w:rFonts w:cs="Arial"/>
          <w:bCs/>
          <w:sz w:val="20"/>
          <w:szCs w:val="20"/>
        </w:rPr>
        <w:t xml:space="preserve"> and Christina </w:t>
      </w:r>
      <w:proofErr w:type="spellStart"/>
      <w:r w:rsidRPr="005A01F2">
        <w:rPr>
          <w:rFonts w:cs="Arial"/>
          <w:bCs/>
          <w:sz w:val="20"/>
          <w:szCs w:val="20"/>
        </w:rPr>
        <w:t>Goe</w:t>
      </w:r>
      <w:proofErr w:type="spellEnd"/>
      <w:r w:rsidRPr="005A01F2">
        <w:rPr>
          <w:rFonts w:cs="Arial"/>
          <w:bCs/>
          <w:sz w:val="20"/>
          <w:szCs w:val="20"/>
        </w:rPr>
        <w:t>, “ACA “Family Glitch” Increases Health Care Costs for Millions of Low-and Middle-Income Families,” Commonwealth Fund</w:t>
      </w:r>
      <w:r w:rsidRPr="005A01F2">
        <w:rPr>
          <w:rFonts w:cs="Arial"/>
          <w:bCs/>
          <w:i/>
          <w:iCs/>
          <w:sz w:val="20"/>
          <w:szCs w:val="20"/>
        </w:rPr>
        <w:t xml:space="preserve">, </w:t>
      </w:r>
      <w:r>
        <w:rPr>
          <w:rFonts w:cs="Arial"/>
          <w:bCs/>
          <w:sz w:val="20"/>
          <w:szCs w:val="20"/>
        </w:rPr>
        <w:t>Apr.</w:t>
      </w:r>
      <w:r w:rsidRPr="005A01F2">
        <w:rPr>
          <w:rFonts w:cs="Arial"/>
          <w:bCs/>
          <w:sz w:val="20"/>
          <w:szCs w:val="20"/>
        </w:rPr>
        <w:t xml:space="preserve"> 22, 2021, accessed at </w:t>
      </w:r>
      <w:hyperlink r:id="rId4" w:history="1">
        <w:r w:rsidRPr="005A01F2">
          <w:rPr>
            <w:rStyle w:val="Hyperlink"/>
            <w:rFonts w:cs="Arial"/>
            <w:bCs/>
            <w:sz w:val="20"/>
            <w:szCs w:val="20"/>
          </w:rPr>
          <w:t>https://www.commonwealthfund.org/blog/2021/aca-family-glitch-increases-health-care-costs-millions-low-and-middle-income-families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95"/>
    <w:rsid w:val="001E3695"/>
    <w:rsid w:val="0034088A"/>
    <w:rsid w:val="005C012D"/>
    <w:rsid w:val="00692D80"/>
    <w:rsid w:val="00A241D7"/>
    <w:rsid w:val="00B137FF"/>
    <w:rsid w:val="00C44F6D"/>
    <w:rsid w:val="00F7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695"/>
    <w:pPr>
      <w:spacing w:after="0" w:line="240" w:lineRule="auto"/>
    </w:pPr>
  </w:style>
  <w:style w:type="character" w:styleId="Hyperlink">
    <w:name w:val="Hyperlink"/>
    <w:basedOn w:val="DefaultParagraphFont"/>
    <w:uiPriority w:val="99"/>
    <w:unhideWhenUsed/>
    <w:rsid w:val="001E3695"/>
    <w:rPr>
      <w:color w:val="0563C1" w:themeColor="hyperlink"/>
      <w:u w:val="single"/>
    </w:rPr>
  </w:style>
  <w:style w:type="paragraph" w:styleId="FootnoteText">
    <w:name w:val="footnote text"/>
    <w:basedOn w:val="Normal"/>
    <w:link w:val="FootnoteTextChar"/>
    <w:uiPriority w:val="99"/>
    <w:unhideWhenUsed/>
    <w:rsid w:val="001E3695"/>
    <w:pPr>
      <w:spacing w:after="0" w:line="240" w:lineRule="auto"/>
    </w:pPr>
    <w:rPr>
      <w:sz w:val="24"/>
      <w:szCs w:val="24"/>
    </w:rPr>
  </w:style>
  <w:style w:type="character" w:customStyle="1" w:styleId="FootnoteTextChar">
    <w:name w:val="Footnote Text Char"/>
    <w:basedOn w:val="DefaultParagraphFont"/>
    <w:link w:val="FootnoteText"/>
    <w:uiPriority w:val="99"/>
    <w:rsid w:val="001E3695"/>
    <w:rPr>
      <w:sz w:val="24"/>
      <w:szCs w:val="24"/>
    </w:rPr>
  </w:style>
  <w:style w:type="character" w:styleId="FootnoteReference">
    <w:name w:val="footnote reference"/>
    <w:basedOn w:val="DefaultParagraphFont"/>
    <w:uiPriority w:val="99"/>
    <w:unhideWhenUsed/>
    <w:rsid w:val="001E36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695"/>
    <w:pPr>
      <w:spacing w:after="0" w:line="240" w:lineRule="auto"/>
    </w:pPr>
  </w:style>
  <w:style w:type="character" w:styleId="Hyperlink">
    <w:name w:val="Hyperlink"/>
    <w:basedOn w:val="DefaultParagraphFont"/>
    <w:uiPriority w:val="99"/>
    <w:unhideWhenUsed/>
    <w:rsid w:val="001E3695"/>
    <w:rPr>
      <w:color w:val="0563C1" w:themeColor="hyperlink"/>
      <w:u w:val="single"/>
    </w:rPr>
  </w:style>
  <w:style w:type="paragraph" w:styleId="FootnoteText">
    <w:name w:val="footnote text"/>
    <w:basedOn w:val="Normal"/>
    <w:link w:val="FootnoteTextChar"/>
    <w:uiPriority w:val="99"/>
    <w:unhideWhenUsed/>
    <w:rsid w:val="001E3695"/>
    <w:pPr>
      <w:spacing w:after="0" w:line="240" w:lineRule="auto"/>
    </w:pPr>
    <w:rPr>
      <w:sz w:val="24"/>
      <w:szCs w:val="24"/>
    </w:rPr>
  </w:style>
  <w:style w:type="character" w:customStyle="1" w:styleId="FootnoteTextChar">
    <w:name w:val="Footnote Text Char"/>
    <w:basedOn w:val="DefaultParagraphFont"/>
    <w:link w:val="FootnoteText"/>
    <w:uiPriority w:val="99"/>
    <w:rsid w:val="001E3695"/>
    <w:rPr>
      <w:sz w:val="24"/>
      <w:szCs w:val="24"/>
    </w:rPr>
  </w:style>
  <w:style w:type="character" w:styleId="FootnoteReference">
    <w:name w:val="footnote reference"/>
    <w:basedOn w:val="DefaultParagraphFont"/>
    <w:uiPriority w:val="99"/>
    <w:unhideWhenUsed/>
    <w:rsid w:val="001E3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incpolling.com/the-topline/state-budget-poll" TargetMode="External"/><Relationship Id="rId2" Type="http://schemas.openxmlformats.org/officeDocument/2006/relationships/hyperlink" Target="https://www.kff.org/health-reform/issue-brief/the-aca-family-glitch-and-affordability-of-employer-coverage/" TargetMode="External"/><Relationship Id="rId1" Type="http://schemas.openxmlformats.org/officeDocument/2006/relationships/hyperlink" Target="https://www.urban.org/sites/default/files/publication/104223/changing-the-family-glitch-would-make-health-coverage-more-affordable-for-many-families_1.pdf" TargetMode="External"/><Relationship Id="rId4" Type="http://schemas.openxmlformats.org/officeDocument/2006/relationships/hyperlink" Target="https://www.commonwealthfund.org/blog/2021/aca-family-glitch-increases-health-care-costs-millions-low-and-middle-income-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3487E6EEFEE48B03FD6698D8E4682" ma:contentTypeVersion="12" ma:contentTypeDescription="Create a new document." ma:contentTypeScope="" ma:versionID="16052be0a2b4700741e5788bd1348f55">
  <xsd:schema xmlns:xsd="http://www.w3.org/2001/XMLSchema" xmlns:xs="http://www.w3.org/2001/XMLSchema" xmlns:p="http://schemas.microsoft.com/office/2006/metadata/properties" xmlns:ns2="b1100dbc-37ab-48a5-8f21-d640fba57fe7" xmlns:ns3="c32fbbb0-2551-4f40-8708-3ac18798f7af" targetNamespace="http://schemas.microsoft.com/office/2006/metadata/properties" ma:root="true" ma:fieldsID="24f455b96cc5a05175fe186b19b39791" ns2:_="" ns3:_="">
    <xsd:import namespace="b1100dbc-37ab-48a5-8f21-d640fba57fe7"/>
    <xsd:import namespace="c32fbbb0-2551-4f40-8708-3ac18798f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dbc-37ab-48a5-8f21-d640fba57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2fbbb0-2551-4f40-8708-3ac18798f7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DCC43-EAC4-4B40-87B2-14376186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dbc-37ab-48a5-8f21-d640fba57fe7"/>
    <ds:schemaRef ds:uri="c32fbbb0-2551-4f40-8708-3ac18798f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272B4-B184-4174-8174-D045832B6B02}">
  <ds:schemaRefs>
    <ds:schemaRef ds:uri="http://schemas.microsoft.com/sharepoint/v3/contenttype/forms"/>
  </ds:schemaRefs>
</ds:datastoreItem>
</file>

<file path=customXml/itemProps3.xml><?xml version="1.0" encoding="utf-8"?>
<ds:datastoreItem xmlns:ds="http://schemas.openxmlformats.org/officeDocument/2006/customXml" ds:itemID="{FC861F87-54A1-4B97-AB5F-319BE59D9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CCAT</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Frigand</dc:creator>
  <cp:lastModifiedBy>Vicky</cp:lastModifiedBy>
  <cp:revision>2</cp:revision>
  <dcterms:created xsi:type="dcterms:W3CDTF">2022-05-31T17:47:00Z</dcterms:created>
  <dcterms:modified xsi:type="dcterms:W3CDTF">2022-05-31T17:47:00Z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0x0101003A73487E6EEFEE48B03FD6698D8E4682</vt:lpwstr>
  </property>
</Properties>
</file>