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AB" w:rsidRDefault="008900AB">
      <w:pPr>
        <w:rPr>
          <w:sz w:val="24"/>
        </w:rPr>
      </w:pPr>
    </w:p>
    <w:p w:rsidR="008900AB" w:rsidRDefault="008900AB">
      <w:pPr>
        <w:rPr>
          <w:sz w:val="24"/>
        </w:rPr>
      </w:pPr>
    </w:p>
    <w:p w:rsidR="008900AB" w:rsidRDefault="008900AB">
      <w:pPr>
        <w:rPr>
          <w:sz w:val="24"/>
        </w:rPr>
      </w:pPr>
    </w:p>
    <w:p w:rsidR="008900AB" w:rsidRDefault="008900AB">
      <w:pPr>
        <w:rPr>
          <w:sz w:val="24"/>
        </w:rPr>
      </w:pPr>
    </w:p>
    <w:p w:rsidR="008900AB" w:rsidRDefault="008A0424">
      <w:pPr>
        <w:rPr>
          <w:rFonts w:ascii="Comic Sans MS" w:hAnsi="Comic Sans MS"/>
          <w:b/>
          <w:sz w:val="24"/>
        </w:rPr>
      </w:pPr>
      <w:r>
        <w:rPr>
          <w:sz w:val="24"/>
        </w:rPr>
        <w:tab/>
      </w:r>
      <w:r>
        <w:rPr>
          <w:sz w:val="24"/>
        </w:rPr>
        <w:tab/>
      </w:r>
      <w:r>
        <w:rPr>
          <w:sz w:val="24"/>
        </w:rPr>
        <w:tab/>
      </w:r>
      <w:r>
        <w:rPr>
          <w:sz w:val="24"/>
        </w:rPr>
        <w:tab/>
      </w:r>
      <w:r>
        <w:rPr>
          <w:sz w:val="24"/>
        </w:rPr>
        <w:tab/>
      </w:r>
      <w:r>
        <w:rPr>
          <w:sz w:val="24"/>
        </w:rPr>
        <w:tab/>
      </w:r>
      <w:r>
        <w:rPr>
          <w:sz w:val="24"/>
        </w:rPr>
        <w:tab/>
      </w:r>
      <w:r>
        <w:rPr>
          <w:rFonts w:ascii="Comic Sans MS" w:hAnsi="Comic Sans MS"/>
          <w:b/>
          <w:sz w:val="24"/>
        </w:rPr>
        <w:t>Procedural Standard 00-3</w:t>
      </w:r>
    </w:p>
    <w:p w:rsidR="008900AB" w:rsidRPr="00186053" w:rsidRDefault="008A0424">
      <w:pPr>
        <w:rPr>
          <w:rFonts w:ascii="Comic Sans MS" w:hAnsi="Comic Sans MS"/>
          <w:b/>
          <w:sz w:val="24"/>
        </w:rPr>
      </w:pP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sidR="000C26E1" w:rsidRPr="000C26E1">
        <w:rPr>
          <w:rFonts w:ascii="Comic Sans MS" w:hAnsi="Comic Sans MS"/>
          <w:b/>
          <w:sz w:val="24"/>
        </w:rPr>
        <w:t xml:space="preserve">December </w:t>
      </w:r>
      <w:r w:rsidR="000A12C5">
        <w:rPr>
          <w:rFonts w:ascii="Comic Sans MS" w:hAnsi="Comic Sans MS"/>
          <w:b/>
          <w:sz w:val="24"/>
        </w:rPr>
        <w:t>5</w:t>
      </w:r>
      <w:r w:rsidR="000C26E1" w:rsidRPr="000C26E1">
        <w:rPr>
          <w:rFonts w:ascii="Comic Sans MS" w:hAnsi="Comic Sans MS"/>
          <w:b/>
          <w:sz w:val="24"/>
        </w:rPr>
        <w:t>, 2011</w:t>
      </w:r>
    </w:p>
    <w:p w:rsidR="008900AB" w:rsidRDefault="008900AB">
      <w:pPr>
        <w:rPr>
          <w:sz w:val="24"/>
        </w:rPr>
      </w:pPr>
    </w:p>
    <w:p w:rsidR="008900AB" w:rsidRPr="00110F73" w:rsidRDefault="00365064">
      <w:pPr>
        <w:pStyle w:val="BodyText"/>
        <w:jc w:val="left"/>
        <w:rPr>
          <w:b w:val="0"/>
          <w:sz w:val="24"/>
          <w:szCs w:val="24"/>
        </w:rPr>
      </w:pPr>
      <w:r w:rsidRPr="00110F73">
        <w:rPr>
          <w:b w:val="0"/>
          <w:sz w:val="24"/>
          <w:szCs w:val="24"/>
        </w:rPr>
        <w:t>TO:</w:t>
      </w:r>
      <w:r w:rsidRPr="00110F73">
        <w:rPr>
          <w:b w:val="0"/>
          <w:sz w:val="24"/>
          <w:szCs w:val="24"/>
        </w:rPr>
        <w:tab/>
        <w:t>DES Staff</w:t>
      </w:r>
    </w:p>
    <w:p w:rsidR="008900AB" w:rsidRPr="00110F73" w:rsidRDefault="008A0424">
      <w:pPr>
        <w:pStyle w:val="BodyText"/>
        <w:jc w:val="left"/>
        <w:rPr>
          <w:b w:val="0"/>
          <w:sz w:val="24"/>
          <w:szCs w:val="24"/>
        </w:rPr>
      </w:pPr>
      <w:r w:rsidRPr="00110F73">
        <w:rPr>
          <w:b w:val="0"/>
          <w:sz w:val="24"/>
          <w:szCs w:val="24"/>
        </w:rPr>
        <w:tab/>
      </w:r>
    </w:p>
    <w:p w:rsidR="00C05A94" w:rsidRPr="00110F73" w:rsidRDefault="008A0424" w:rsidP="00C05A94">
      <w:pPr>
        <w:pStyle w:val="MessageHeader"/>
        <w:tabs>
          <w:tab w:val="clear" w:pos="1560"/>
          <w:tab w:val="left" w:pos="0"/>
        </w:tabs>
        <w:spacing w:line="400" w:lineRule="atLeast"/>
        <w:ind w:left="0" w:firstLine="0"/>
        <w:rPr>
          <w:sz w:val="24"/>
          <w:szCs w:val="24"/>
        </w:rPr>
      </w:pPr>
      <w:r w:rsidRPr="00110F73">
        <w:rPr>
          <w:b/>
          <w:sz w:val="24"/>
          <w:szCs w:val="24"/>
        </w:rPr>
        <w:t>FR:</w:t>
      </w:r>
      <w:r w:rsidRPr="00110F73">
        <w:rPr>
          <w:b/>
          <w:sz w:val="24"/>
          <w:szCs w:val="24"/>
        </w:rPr>
        <w:tab/>
      </w:r>
      <w:r w:rsidR="008900AB" w:rsidRPr="00110F73">
        <w:rPr>
          <w:sz w:val="24"/>
          <w:szCs w:val="24"/>
        </w:rPr>
        <w:t>A. E. Adams Ph.D. Director, Disability Evaluation Services</w:t>
      </w:r>
    </w:p>
    <w:p w:rsidR="008900AB" w:rsidRPr="00110F73" w:rsidRDefault="008900AB">
      <w:pPr>
        <w:pStyle w:val="BodyText"/>
        <w:jc w:val="left"/>
        <w:rPr>
          <w:b w:val="0"/>
          <w:sz w:val="24"/>
          <w:szCs w:val="24"/>
        </w:rPr>
      </w:pPr>
    </w:p>
    <w:p w:rsidR="00C05A94" w:rsidRPr="00110F73" w:rsidRDefault="008A0424" w:rsidP="00C05A94">
      <w:pPr>
        <w:pStyle w:val="MessageHeader"/>
        <w:tabs>
          <w:tab w:val="clear" w:pos="1560"/>
          <w:tab w:val="left" w:pos="0"/>
        </w:tabs>
        <w:spacing w:line="400" w:lineRule="atLeast"/>
        <w:ind w:left="0" w:firstLine="0"/>
        <w:rPr>
          <w:sz w:val="24"/>
          <w:szCs w:val="24"/>
        </w:rPr>
      </w:pPr>
      <w:r w:rsidRPr="00110F73">
        <w:rPr>
          <w:b/>
          <w:sz w:val="24"/>
          <w:szCs w:val="24"/>
        </w:rPr>
        <w:t>BY:</w:t>
      </w:r>
      <w:r w:rsidRPr="00110F73">
        <w:rPr>
          <w:b/>
          <w:sz w:val="24"/>
          <w:szCs w:val="24"/>
        </w:rPr>
        <w:tab/>
      </w:r>
      <w:r w:rsidR="008900AB" w:rsidRPr="00110F73">
        <w:rPr>
          <w:sz w:val="24"/>
          <w:szCs w:val="24"/>
        </w:rPr>
        <w:t>Sherry J. Campanelli, Program Compliance Manager,</w:t>
      </w:r>
    </w:p>
    <w:p w:rsidR="00C05A94" w:rsidRPr="00110F73" w:rsidRDefault="008900AB" w:rsidP="00C05A94">
      <w:pPr>
        <w:pStyle w:val="MessageHeader"/>
        <w:tabs>
          <w:tab w:val="clear" w:pos="1560"/>
          <w:tab w:val="left" w:pos="0"/>
        </w:tabs>
        <w:spacing w:line="400" w:lineRule="atLeast"/>
        <w:ind w:left="720"/>
        <w:rPr>
          <w:sz w:val="24"/>
          <w:szCs w:val="24"/>
        </w:rPr>
      </w:pPr>
      <w:r w:rsidRPr="00110F73">
        <w:rPr>
          <w:sz w:val="24"/>
          <w:szCs w:val="24"/>
        </w:rPr>
        <w:t xml:space="preserve">            Disability Evaluation Services</w:t>
      </w:r>
    </w:p>
    <w:p w:rsidR="008900AB" w:rsidRPr="00110F73" w:rsidRDefault="008900AB">
      <w:pPr>
        <w:pStyle w:val="BodyText"/>
        <w:jc w:val="left"/>
        <w:rPr>
          <w:b w:val="0"/>
          <w:sz w:val="24"/>
          <w:szCs w:val="24"/>
        </w:rPr>
      </w:pPr>
    </w:p>
    <w:p w:rsidR="008900AB" w:rsidRPr="00110F73" w:rsidRDefault="008A0424">
      <w:pPr>
        <w:pStyle w:val="BodyText"/>
        <w:jc w:val="left"/>
        <w:rPr>
          <w:sz w:val="24"/>
          <w:szCs w:val="24"/>
        </w:rPr>
      </w:pPr>
      <w:r w:rsidRPr="00110F73">
        <w:rPr>
          <w:sz w:val="24"/>
          <w:szCs w:val="24"/>
        </w:rPr>
        <w:t>RE:</w:t>
      </w:r>
      <w:r w:rsidRPr="00110F73">
        <w:rPr>
          <w:sz w:val="24"/>
          <w:szCs w:val="24"/>
        </w:rPr>
        <w:tab/>
        <w:t>Requesting Consultative Examinations</w:t>
      </w:r>
      <w:r w:rsidR="00D35F42" w:rsidRPr="00110F73">
        <w:rPr>
          <w:sz w:val="24"/>
          <w:szCs w:val="24"/>
        </w:rPr>
        <w:t xml:space="preserve"> (C</w:t>
      </w:r>
      <w:r w:rsidR="004B1B02" w:rsidRPr="00110F73">
        <w:rPr>
          <w:sz w:val="24"/>
          <w:szCs w:val="24"/>
        </w:rPr>
        <w:t>E</w:t>
      </w:r>
      <w:r w:rsidR="00E43CCC">
        <w:rPr>
          <w:sz w:val="24"/>
          <w:szCs w:val="24"/>
        </w:rPr>
        <w:t>s</w:t>
      </w:r>
      <w:r w:rsidR="004B1B02" w:rsidRPr="00110F73">
        <w:rPr>
          <w:sz w:val="24"/>
          <w:szCs w:val="24"/>
        </w:rPr>
        <w:t>)</w:t>
      </w:r>
    </w:p>
    <w:p w:rsidR="008900AB" w:rsidRPr="00110F73" w:rsidRDefault="008900AB">
      <w:pPr>
        <w:pStyle w:val="BodyText"/>
        <w:pBdr>
          <w:bottom w:val="single" w:sz="12" w:space="1" w:color="auto"/>
        </w:pBdr>
        <w:jc w:val="left"/>
        <w:rPr>
          <w:sz w:val="24"/>
          <w:szCs w:val="24"/>
        </w:rPr>
      </w:pPr>
    </w:p>
    <w:p w:rsidR="008900AB" w:rsidRPr="00110F73" w:rsidRDefault="008900AB">
      <w:pPr>
        <w:pStyle w:val="BodyText"/>
        <w:jc w:val="left"/>
        <w:rPr>
          <w:sz w:val="24"/>
          <w:szCs w:val="24"/>
        </w:rPr>
      </w:pPr>
    </w:p>
    <w:p w:rsidR="008900AB" w:rsidRPr="00110F73" w:rsidRDefault="008A0424">
      <w:pPr>
        <w:pStyle w:val="BodyText"/>
        <w:ind w:left="1440" w:hanging="1440"/>
        <w:jc w:val="left"/>
        <w:rPr>
          <w:b w:val="0"/>
          <w:sz w:val="24"/>
          <w:szCs w:val="24"/>
        </w:rPr>
      </w:pPr>
      <w:r w:rsidRPr="00110F73">
        <w:rPr>
          <w:sz w:val="24"/>
          <w:szCs w:val="24"/>
        </w:rPr>
        <w:t xml:space="preserve">Purpose: </w:t>
      </w:r>
      <w:r w:rsidRPr="00110F73">
        <w:rPr>
          <w:sz w:val="24"/>
          <w:szCs w:val="24"/>
        </w:rPr>
        <w:tab/>
      </w:r>
      <w:r w:rsidRPr="00110F73">
        <w:rPr>
          <w:b w:val="0"/>
          <w:sz w:val="24"/>
          <w:szCs w:val="24"/>
        </w:rPr>
        <w:t xml:space="preserve">This </w:t>
      </w:r>
      <w:r w:rsidR="004B1B02" w:rsidRPr="00110F73">
        <w:rPr>
          <w:b w:val="0"/>
          <w:sz w:val="24"/>
          <w:szCs w:val="24"/>
        </w:rPr>
        <w:t xml:space="preserve">instruction </w:t>
      </w:r>
      <w:r w:rsidR="00EB62D7" w:rsidRPr="00110F73">
        <w:rPr>
          <w:b w:val="0"/>
          <w:sz w:val="24"/>
          <w:szCs w:val="24"/>
        </w:rPr>
        <w:t xml:space="preserve">assists the </w:t>
      </w:r>
      <w:r w:rsidR="00DE5AED">
        <w:rPr>
          <w:b w:val="0"/>
          <w:sz w:val="24"/>
          <w:szCs w:val="24"/>
        </w:rPr>
        <w:t>D</w:t>
      </w:r>
      <w:r w:rsidR="00EB62D7" w:rsidRPr="00110F73">
        <w:rPr>
          <w:b w:val="0"/>
          <w:sz w:val="24"/>
          <w:szCs w:val="24"/>
        </w:rPr>
        <w:t xml:space="preserve">isability </w:t>
      </w:r>
      <w:r w:rsidR="00DE5AED">
        <w:rPr>
          <w:b w:val="0"/>
          <w:sz w:val="24"/>
          <w:szCs w:val="24"/>
        </w:rPr>
        <w:t>R</w:t>
      </w:r>
      <w:r w:rsidR="00EB62D7" w:rsidRPr="00110F73">
        <w:rPr>
          <w:b w:val="0"/>
          <w:sz w:val="24"/>
          <w:szCs w:val="24"/>
        </w:rPr>
        <w:t>eview</w:t>
      </w:r>
      <w:r w:rsidR="00DE5AED">
        <w:rPr>
          <w:b w:val="0"/>
          <w:sz w:val="24"/>
          <w:szCs w:val="24"/>
        </w:rPr>
        <w:t>er</w:t>
      </w:r>
      <w:r w:rsidR="00EB62D7" w:rsidRPr="00110F73">
        <w:rPr>
          <w:b w:val="0"/>
          <w:sz w:val="24"/>
          <w:szCs w:val="24"/>
        </w:rPr>
        <w:t xml:space="preserve"> in determinin</w:t>
      </w:r>
      <w:r w:rsidR="00055B1A">
        <w:rPr>
          <w:b w:val="0"/>
          <w:sz w:val="24"/>
          <w:szCs w:val="24"/>
        </w:rPr>
        <w:t>g</w:t>
      </w:r>
      <w:r w:rsidR="00DE5AED">
        <w:rPr>
          <w:b w:val="0"/>
          <w:sz w:val="24"/>
          <w:szCs w:val="24"/>
        </w:rPr>
        <w:t xml:space="preserve"> </w:t>
      </w:r>
      <w:r w:rsidR="00EB62D7" w:rsidRPr="00110F73">
        <w:rPr>
          <w:b w:val="0"/>
          <w:sz w:val="24"/>
          <w:szCs w:val="24"/>
        </w:rPr>
        <w:t xml:space="preserve">when and </w:t>
      </w:r>
      <w:r w:rsidR="00DE5AED">
        <w:rPr>
          <w:b w:val="0"/>
          <w:sz w:val="24"/>
          <w:szCs w:val="24"/>
        </w:rPr>
        <w:t>how to</w:t>
      </w:r>
      <w:r w:rsidR="00055B1A">
        <w:rPr>
          <w:b w:val="0"/>
          <w:sz w:val="24"/>
          <w:szCs w:val="24"/>
        </w:rPr>
        <w:t xml:space="preserve"> obtain </w:t>
      </w:r>
      <w:r w:rsidR="00EB62D7" w:rsidRPr="00110F73">
        <w:rPr>
          <w:b w:val="0"/>
          <w:sz w:val="24"/>
          <w:szCs w:val="24"/>
        </w:rPr>
        <w:t>a consultative examination.</w:t>
      </w:r>
    </w:p>
    <w:p w:rsidR="008900AB" w:rsidRPr="00110F73" w:rsidRDefault="008900AB">
      <w:pPr>
        <w:pStyle w:val="BodyText"/>
        <w:pBdr>
          <w:bottom w:val="single" w:sz="12" w:space="1" w:color="auto"/>
        </w:pBdr>
        <w:ind w:left="1440" w:hanging="1440"/>
        <w:jc w:val="left"/>
        <w:rPr>
          <w:sz w:val="24"/>
          <w:szCs w:val="24"/>
        </w:rPr>
      </w:pPr>
    </w:p>
    <w:p w:rsidR="00E86E8B" w:rsidRDefault="00E86E8B" w:rsidP="003B21D6">
      <w:pPr>
        <w:pStyle w:val="BodyText"/>
        <w:ind w:left="1440" w:hanging="1440"/>
        <w:jc w:val="left"/>
        <w:rPr>
          <w:sz w:val="24"/>
          <w:szCs w:val="24"/>
        </w:rPr>
      </w:pPr>
    </w:p>
    <w:p w:rsidR="008900AB" w:rsidRPr="00110F73" w:rsidRDefault="000C15FB" w:rsidP="003B21D6">
      <w:pPr>
        <w:pStyle w:val="BodyText"/>
        <w:ind w:left="1440" w:hanging="1440"/>
        <w:jc w:val="left"/>
        <w:rPr>
          <w:b w:val="0"/>
          <w:sz w:val="24"/>
          <w:szCs w:val="24"/>
        </w:rPr>
      </w:pPr>
      <w:r w:rsidRPr="00110F73">
        <w:rPr>
          <w:sz w:val="24"/>
          <w:szCs w:val="24"/>
        </w:rPr>
        <w:t>Policy:</w:t>
      </w:r>
      <w:r w:rsidR="003B21D6">
        <w:rPr>
          <w:b w:val="0"/>
          <w:sz w:val="24"/>
          <w:szCs w:val="24"/>
        </w:rPr>
        <w:tab/>
      </w:r>
      <w:r w:rsidR="008A0424" w:rsidRPr="00110F73">
        <w:rPr>
          <w:b w:val="0"/>
          <w:sz w:val="24"/>
          <w:szCs w:val="24"/>
        </w:rPr>
        <w:t xml:space="preserve">Consultative Examinations (CEs) are requested when there is insufficient </w:t>
      </w:r>
    </w:p>
    <w:p w:rsidR="008900AB" w:rsidRPr="00110F73" w:rsidRDefault="008A0424">
      <w:pPr>
        <w:pStyle w:val="BodyText"/>
        <w:ind w:left="1440"/>
        <w:jc w:val="left"/>
        <w:rPr>
          <w:b w:val="0"/>
          <w:sz w:val="24"/>
          <w:szCs w:val="24"/>
        </w:rPr>
      </w:pPr>
      <w:proofErr w:type="gramStart"/>
      <w:r w:rsidRPr="00110F73">
        <w:rPr>
          <w:b w:val="0"/>
          <w:sz w:val="24"/>
          <w:szCs w:val="24"/>
        </w:rPr>
        <w:t>clinical</w:t>
      </w:r>
      <w:proofErr w:type="gramEnd"/>
      <w:r w:rsidRPr="00110F73">
        <w:rPr>
          <w:b w:val="0"/>
          <w:sz w:val="24"/>
          <w:szCs w:val="24"/>
        </w:rPr>
        <w:t xml:space="preserve"> information for the </w:t>
      </w:r>
      <w:r w:rsidR="00E4772C" w:rsidRPr="00110F73">
        <w:rPr>
          <w:b w:val="0"/>
          <w:sz w:val="24"/>
          <w:szCs w:val="24"/>
        </w:rPr>
        <w:t>Disability R</w:t>
      </w:r>
      <w:r w:rsidRPr="00110F73">
        <w:rPr>
          <w:b w:val="0"/>
          <w:sz w:val="24"/>
          <w:szCs w:val="24"/>
        </w:rPr>
        <w:t>eviewer</w:t>
      </w:r>
      <w:r w:rsidR="00E4772C" w:rsidRPr="00110F73">
        <w:rPr>
          <w:b w:val="0"/>
          <w:sz w:val="24"/>
          <w:szCs w:val="24"/>
        </w:rPr>
        <w:t xml:space="preserve"> (DR)</w:t>
      </w:r>
      <w:r w:rsidRPr="00110F73">
        <w:rPr>
          <w:b w:val="0"/>
          <w:sz w:val="24"/>
          <w:szCs w:val="24"/>
        </w:rPr>
        <w:t xml:space="preserve"> to make a decision or there is conflicting information and the reviewer is unable to </w:t>
      </w:r>
      <w:r w:rsidR="00E4772C" w:rsidRPr="00110F73">
        <w:rPr>
          <w:b w:val="0"/>
          <w:sz w:val="24"/>
          <w:szCs w:val="24"/>
        </w:rPr>
        <w:t>resolve the discrepancy without further information about</w:t>
      </w:r>
      <w:r w:rsidR="00730FA4">
        <w:rPr>
          <w:b w:val="0"/>
          <w:sz w:val="24"/>
          <w:szCs w:val="24"/>
        </w:rPr>
        <w:t xml:space="preserve"> </w:t>
      </w:r>
      <w:r w:rsidR="00315D24">
        <w:rPr>
          <w:b w:val="0"/>
          <w:sz w:val="24"/>
          <w:szCs w:val="24"/>
        </w:rPr>
        <w:t xml:space="preserve">the </w:t>
      </w:r>
      <w:r w:rsidR="00E4772C" w:rsidRPr="00110F73">
        <w:rPr>
          <w:b w:val="0"/>
          <w:sz w:val="24"/>
          <w:szCs w:val="24"/>
        </w:rPr>
        <w:t>cl</w:t>
      </w:r>
      <w:r w:rsidRPr="00110F73">
        <w:rPr>
          <w:b w:val="0"/>
          <w:sz w:val="24"/>
          <w:szCs w:val="24"/>
        </w:rPr>
        <w:t>ient’s impairment(s)</w:t>
      </w:r>
      <w:r w:rsidR="00793649">
        <w:rPr>
          <w:b w:val="0"/>
          <w:sz w:val="24"/>
          <w:szCs w:val="24"/>
        </w:rPr>
        <w:t>.</w:t>
      </w:r>
      <w:r w:rsidR="005F721E" w:rsidRPr="00110F73">
        <w:rPr>
          <w:b w:val="0"/>
          <w:sz w:val="24"/>
          <w:szCs w:val="24"/>
        </w:rPr>
        <w:t xml:space="preserve">  Evidence is sufficient when it is consistent and </w:t>
      </w:r>
      <w:proofErr w:type="gramStart"/>
      <w:r w:rsidR="005F721E" w:rsidRPr="00110F73">
        <w:rPr>
          <w:b w:val="0"/>
          <w:sz w:val="24"/>
          <w:szCs w:val="24"/>
        </w:rPr>
        <w:t>complete</w:t>
      </w:r>
      <w:proofErr w:type="gramEnd"/>
      <w:r w:rsidR="005F721E" w:rsidRPr="00110F73">
        <w:rPr>
          <w:b w:val="0"/>
          <w:sz w:val="24"/>
          <w:szCs w:val="24"/>
        </w:rPr>
        <w:t xml:space="preserve"> enough to </w:t>
      </w:r>
      <w:r w:rsidR="00682AA8" w:rsidRPr="00110F73">
        <w:rPr>
          <w:b w:val="0"/>
          <w:sz w:val="24"/>
          <w:szCs w:val="24"/>
        </w:rPr>
        <w:t>permit an assessment of impairment severity and/or to assess the client’s functioning.</w:t>
      </w:r>
      <w:r w:rsidR="00AF0025" w:rsidRPr="00110F73">
        <w:rPr>
          <w:b w:val="0"/>
          <w:sz w:val="24"/>
          <w:szCs w:val="24"/>
        </w:rPr>
        <w:t xml:space="preserve">  </w:t>
      </w:r>
      <w:r w:rsidRPr="00110F73">
        <w:rPr>
          <w:b w:val="0"/>
          <w:sz w:val="24"/>
          <w:szCs w:val="24"/>
        </w:rPr>
        <w:br/>
      </w:r>
    </w:p>
    <w:p w:rsidR="00540F4D" w:rsidRDefault="00AF0025">
      <w:pPr>
        <w:pStyle w:val="BodyText"/>
        <w:ind w:left="1440"/>
        <w:jc w:val="left"/>
        <w:rPr>
          <w:b w:val="0"/>
          <w:sz w:val="24"/>
          <w:szCs w:val="24"/>
        </w:rPr>
      </w:pPr>
      <w:r w:rsidRPr="00110F73">
        <w:rPr>
          <w:b w:val="0"/>
          <w:sz w:val="24"/>
          <w:szCs w:val="24"/>
        </w:rPr>
        <w:t xml:space="preserve">Sufficient information can often be obtained without resorting to a CE.  </w:t>
      </w:r>
      <w:r w:rsidR="008A0424" w:rsidRPr="00110F73">
        <w:rPr>
          <w:b w:val="0"/>
          <w:sz w:val="24"/>
          <w:szCs w:val="24"/>
        </w:rPr>
        <w:t xml:space="preserve">The </w:t>
      </w:r>
      <w:r w:rsidR="00E4772C" w:rsidRPr="00110F73">
        <w:rPr>
          <w:b w:val="0"/>
          <w:sz w:val="24"/>
          <w:szCs w:val="24"/>
        </w:rPr>
        <w:t xml:space="preserve">DR </w:t>
      </w:r>
      <w:r w:rsidR="00996F6B">
        <w:rPr>
          <w:b w:val="0"/>
          <w:sz w:val="24"/>
          <w:szCs w:val="24"/>
        </w:rPr>
        <w:t xml:space="preserve">first </w:t>
      </w:r>
      <w:r w:rsidR="008A0424" w:rsidRPr="00110F73">
        <w:rPr>
          <w:b w:val="0"/>
          <w:sz w:val="24"/>
          <w:szCs w:val="24"/>
        </w:rPr>
        <w:t>make</w:t>
      </w:r>
      <w:r w:rsidR="00996F6B">
        <w:rPr>
          <w:b w:val="0"/>
          <w:sz w:val="24"/>
          <w:szCs w:val="24"/>
        </w:rPr>
        <w:t>s</w:t>
      </w:r>
      <w:r w:rsidR="008A0424" w:rsidRPr="00110F73">
        <w:rPr>
          <w:b w:val="0"/>
          <w:sz w:val="24"/>
          <w:szCs w:val="24"/>
        </w:rPr>
        <w:t xml:space="preserve"> telephone contact </w:t>
      </w:r>
      <w:r w:rsidR="00721B78" w:rsidRPr="00110F73">
        <w:rPr>
          <w:b w:val="0"/>
          <w:sz w:val="24"/>
          <w:szCs w:val="24"/>
        </w:rPr>
        <w:t>(or re</w:t>
      </w:r>
      <w:r w:rsidR="00CA7907" w:rsidRPr="00110F73">
        <w:rPr>
          <w:b w:val="0"/>
          <w:sz w:val="24"/>
          <w:szCs w:val="24"/>
        </w:rPr>
        <w:t>fer</w:t>
      </w:r>
      <w:r w:rsidR="00996F6B">
        <w:rPr>
          <w:b w:val="0"/>
          <w:sz w:val="24"/>
          <w:szCs w:val="24"/>
        </w:rPr>
        <w:t>s</w:t>
      </w:r>
      <w:r w:rsidR="00CA7907" w:rsidRPr="00110F73">
        <w:rPr>
          <w:b w:val="0"/>
          <w:sz w:val="24"/>
          <w:szCs w:val="24"/>
        </w:rPr>
        <w:t xml:space="preserve"> the request to the targeted clinical call desk</w:t>
      </w:r>
      <w:r w:rsidR="00721B78" w:rsidRPr="00110F73">
        <w:rPr>
          <w:b w:val="0"/>
          <w:sz w:val="24"/>
          <w:szCs w:val="24"/>
        </w:rPr>
        <w:t xml:space="preserve">) </w:t>
      </w:r>
      <w:r w:rsidR="008A0424" w:rsidRPr="00110F73">
        <w:rPr>
          <w:b w:val="0"/>
          <w:sz w:val="24"/>
          <w:szCs w:val="24"/>
        </w:rPr>
        <w:t>with the treating source(s) most likely to provide the clinical information needed to make a decision prior to requesting the CE</w:t>
      </w:r>
      <w:r w:rsidR="005F721E" w:rsidRPr="00110F73">
        <w:rPr>
          <w:b w:val="0"/>
          <w:sz w:val="24"/>
          <w:szCs w:val="24"/>
        </w:rPr>
        <w:t xml:space="preserve">.  </w:t>
      </w:r>
      <w:r w:rsidR="008A0424" w:rsidRPr="00110F73">
        <w:rPr>
          <w:b w:val="0"/>
          <w:sz w:val="24"/>
          <w:szCs w:val="24"/>
        </w:rPr>
        <w:t xml:space="preserve">  </w:t>
      </w:r>
    </w:p>
    <w:p w:rsidR="00540F4D" w:rsidRDefault="00540F4D">
      <w:pPr>
        <w:pStyle w:val="BodyText"/>
        <w:ind w:left="1440"/>
        <w:jc w:val="left"/>
        <w:rPr>
          <w:b w:val="0"/>
          <w:sz w:val="24"/>
          <w:szCs w:val="24"/>
        </w:rPr>
      </w:pPr>
    </w:p>
    <w:p w:rsidR="008900AB" w:rsidRDefault="0030116A">
      <w:pPr>
        <w:pStyle w:val="BodyText"/>
        <w:ind w:left="1440"/>
        <w:jc w:val="left"/>
        <w:rPr>
          <w:b w:val="0"/>
          <w:sz w:val="24"/>
          <w:szCs w:val="24"/>
        </w:rPr>
      </w:pPr>
      <w:r w:rsidRPr="00110F73">
        <w:rPr>
          <w:b w:val="0"/>
          <w:sz w:val="24"/>
          <w:szCs w:val="24"/>
        </w:rPr>
        <w:t>Even if</w:t>
      </w:r>
      <w:r w:rsidR="006B59D2" w:rsidRPr="00110F73">
        <w:rPr>
          <w:b w:val="0"/>
          <w:sz w:val="24"/>
          <w:szCs w:val="24"/>
        </w:rPr>
        <w:t xml:space="preserve"> evidence is insufficient to determine if the client’s impairments meet or equal the SSI listings/DTA Medical Standards, t</w:t>
      </w:r>
      <w:r w:rsidR="008A0424" w:rsidRPr="00110F73">
        <w:rPr>
          <w:b w:val="0"/>
          <w:sz w:val="24"/>
          <w:szCs w:val="24"/>
        </w:rPr>
        <w:t>he DR</w:t>
      </w:r>
      <w:r w:rsidR="00951E3E">
        <w:rPr>
          <w:b w:val="0"/>
          <w:sz w:val="24"/>
          <w:szCs w:val="24"/>
        </w:rPr>
        <w:t xml:space="preserve"> </w:t>
      </w:r>
      <w:r w:rsidR="008A0424" w:rsidRPr="00110F73">
        <w:rPr>
          <w:b w:val="0"/>
          <w:sz w:val="24"/>
          <w:szCs w:val="24"/>
        </w:rPr>
        <w:t>consider</w:t>
      </w:r>
      <w:r w:rsidR="009E7A9B">
        <w:rPr>
          <w:b w:val="0"/>
          <w:sz w:val="24"/>
          <w:szCs w:val="24"/>
        </w:rPr>
        <w:t>s</w:t>
      </w:r>
      <w:r w:rsidR="008A0424" w:rsidRPr="00110F73">
        <w:rPr>
          <w:b w:val="0"/>
          <w:sz w:val="24"/>
          <w:szCs w:val="24"/>
        </w:rPr>
        <w:t xml:space="preserve"> </w:t>
      </w:r>
      <w:r w:rsidR="00CA7907" w:rsidRPr="00110F73">
        <w:rPr>
          <w:b w:val="0"/>
          <w:sz w:val="24"/>
          <w:szCs w:val="24"/>
        </w:rPr>
        <w:t>v</w:t>
      </w:r>
      <w:r w:rsidR="008A0424" w:rsidRPr="00110F73">
        <w:rPr>
          <w:b w:val="0"/>
          <w:sz w:val="24"/>
          <w:szCs w:val="24"/>
        </w:rPr>
        <w:t xml:space="preserve">ocational pre-screening when there is sufficient clinical information to support </w:t>
      </w:r>
      <w:r w:rsidR="00EF019A" w:rsidRPr="00110F73">
        <w:rPr>
          <w:b w:val="0"/>
          <w:sz w:val="24"/>
          <w:szCs w:val="24"/>
        </w:rPr>
        <w:t xml:space="preserve">assessment of </w:t>
      </w:r>
      <w:r w:rsidR="008A0424" w:rsidRPr="00110F73">
        <w:rPr>
          <w:b w:val="0"/>
          <w:sz w:val="24"/>
          <w:szCs w:val="24"/>
        </w:rPr>
        <w:t>functional limitation</w:t>
      </w:r>
      <w:r w:rsidR="009E7A9B">
        <w:rPr>
          <w:b w:val="0"/>
          <w:sz w:val="24"/>
          <w:szCs w:val="24"/>
        </w:rPr>
        <w:t>(</w:t>
      </w:r>
      <w:r w:rsidR="008A0424" w:rsidRPr="00110F73">
        <w:rPr>
          <w:b w:val="0"/>
          <w:sz w:val="24"/>
          <w:szCs w:val="24"/>
        </w:rPr>
        <w:t>s</w:t>
      </w:r>
      <w:r w:rsidR="009E7A9B">
        <w:rPr>
          <w:b w:val="0"/>
          <w:sz w:val="24"/>
          <w:szCs w:val="24"/>
        </w:rPr>
        <w:t xml:space="preserve">) that </w:t>
      </w:r>
      <w:r w:rsidR="00866C67">
        <w:rPr>
          <w:b w:val="0"/>
          <w:sz w:val="24"/>
          <w:szCs w:val="24"/>
        </w:rPr>
        <w:t>the DR anticipates would result in an approval</w:t>
      </w:r>
      <w:r w:rsidR="004141F5" w:rsidRPr="00110F73">
        <w:rPr>
          <w:b w:val="0"/>
          <w:sz w:val="24"/>
          <w:szCs w:val="24"/>
        </w:rPr>
        <w:t>.</w:t>
      </w:r>
      <w:r w:rsidR="008A0424" w:rsidRPr="00110F73">
        <w:rPr>
          <w:b w:val="0"/>
          <w:sz w:val="24"/>
          <w:szCs w:val="24"/>
        </w:rPr>
        <w:t xml:space="preserve"> The </w:t>
      </w:r>
      <w:r w:rsidR="00EF019A" w:rsidRPr="00110F73">
        <w:rPr>
          <w:b w:val="0"/>
          <w:sz w:val="24"/>
          <w:szCs w:val="24"/>
        </w:rPr>
        <w:t>v</w:t>
      </w:r>
      <w:r w:rsidR="008A0424" w:rsidRPr="00110F73">
        <w:rPr>
          <w:b w:val="0"/>
          <w:sz w:val="24"/>
          <w:szCs w:val="24"/>
        </w:rPr>
        <w:t xml:space="preserve">ocational pre-screening </w:t>
      </w:r>
      <w:r w:rsidR="00EF019A" w:rsidRPr="00110F73">
        <w:rPr>
          <w:b w:val="0"/>
          <w:sz w:val="24"/>
          <w:szCs w:val="24"/>
        </w:rPr>
        <w:t>is</w:t>
      </w:r>
      <w:r w:rsidR="008A0424" w:rsidRPr="00110F73">
        <w:rPr>
          <w:b w:val="0"/>
          <w:sz w:val="24"/>
          <w:szCs w:val="24"/>
        </w:rPr>
        <w:t xml:space="preserve"> </w:t>
      </w:r>
      <w:r w:rsidR="00540F4D">
        <w:rPr>
          <w:b w:val="0"/>
          <w:sz w:val="24"/>
          <w:szCs w:val="24"/>
        </w:rPr>
        <w:t xml:space="preserve">also </w:t>
      </w:r>
      <w:r w:rsidR="008A0424" w:rsidRPr="00110F73">
        <w:rPr>
          <w:b w:val="0"/>
          <w:sz w:val="24"/>
          <w:szCs w:val="24"/>
        </w:rPr>
        <w:t>done before the CE is requested</w:t>
      </w:r>
      <w:r w:rsidR="00AE68F5" w:rsidRPr="00110F73">
        <w:rPr>
          <w:b w:val="0"/>
          <w:sz w:val="24"/>
          <w:szCs w:val="24"/>
        </w:rPr>
        <w:t>.</w:t>
      </w:r>
      <w:r w:rsidR="00E049DE">
        <w:rPr>
          <w:rStyle w:val="FootnoteReference"/>
          <w:b w:val="0"/>
          <w:sz w:val="24"/>
          <w:szCs w:val="24"/>
        </w:rPr>
        <w:footnoteReference w:id="1"/>
      </w:r>
      <w:r w:rsidR="00007E93">
        <w:rPr>
          <w:b w:val="0"/>
          <w:sz w:val="24"/>
          <w:szCs w:val="24"/>
        </w:rPr>
        <w:t xml:space="preserve">  </w:t>
      </w:r>
    </w:p>
    <w:p w:rsidR="009E7A9B" w:rsidRPr="00110F73" w:rsidRDefault="009E7A9B">
      <w:pPr>
        <w:pStyle w:val="BodyText"/>
        <w:ind w:left="1440"/>
        <w:jc w:val="left"/>
        <w:rPr>
          <w:b w:val="0"/>
          <w:sz w:val="24"/>
          <w:szCs w:val="24"/>
        </w:rPr>
      </w:pPr>
    </w:p>
    <w:p w:rsidR="008900AB" w:rsidRPr="00450B5E" w:rsidRDefault="00450B5E">
      <w:pPr>
        <w:pStyle w:val="BodyText"/>
        <w:ind w:left="1440"/>
        <w:jc w:val="left"/>
        <w:rPr>
          <w:b w:val="0"/>
          <w:sz w:val="24"/>
          <w:szCs w:val="24"/>
        </w:rPr>
      </w:pPr>
      <w:r w:rsidRPr="00450B5E">
        <w:rPr>
          <w:b w:val="0"/>
          <w:sz w:val="24"/>
          <w:szCs w:val="24"/>
        </w:rPr>
        <w:lastRenderedPageBreak/>
        <w:t>Note:  Do not request a pre-screen for the purpose of determining if information is sufficient for all complaints.</w:t>
      </w:r>
    </w:p>
    <w:p w:rsidR="008900AB" w:rsidRPr="00450B5E" w:rsidRDefault="008900AB">
      <w:pPr>
        <w:pStyle w:val="BodyText"/>
        <w:pBdr>
          <w:bottom w:val="single" w:sz="12" w:space="1" w:color="auto"/>
        </w:pBdr>
        <w:jc w:val="left"/>
        <w:rPr>
          <w:b w:val="0"/>
          <w:sz w:val="24"/>
          <w:szCs w:val="24"/>
        </w:rPr>
      </w:pPr>
    </w:p>
    <w:p w:rsidR="008900AB" w:rsidRPr="00110F73" w:rsidRDefault="008900AB">
      <w:pPr>
        <w:pStyle w:val="BodyText"/>
        <w:jc w:val="left"/>
        <w:rPr>
          <w:sz w:val="24"/>
          <w:szCs w:val="24"/>
        </w:rPr>
      </w:pPr>
    </w:p>
    <w:p w:rsidR="00E86E8B" w:rsidRDefault="008A0424" w:rsidP="00E86E8B">
      <w:pPr>
        <w:pStyle w:val="BodyText"/>
        <w:ind w:left="1440" w:hanging="1440"/>
        <w:jc w:val="left"/>
        <w:rPr>
          <w:b w:val="0"/>
          <w:sz w:val="24"/>
          <w:szCs w:val="24"/>
        </w:rPr>
      </w:pPr>
      <w:r w:rsidRPr="00110F73">
        <w:rPr>
          <w:sz w:val="24"/>
          <w:szCs w:val="24"/>
        </w:rPr>
        <w:t>Procedure:</w:t>
      </w:r>
      <w:r w:rsidR="00E86E8B">
        <w:rPr>
          <w:sz w:val="24"/>
          <w:szCs w:val="24"/>
        </w:rPr>
        <w:tab/>
      </w:r>
      <w:r w:rsidR="009C0D56" w:rsidRPr="00110F73">
        <w:rPr>
          <w:b w:val="0"/>
          <w:sz w:val="24"/>
          <w:szCs w:val="24"/>
        </w:rPr>
        <w:t xml:space="preserve">Medical and </w:t>
      </w:r>
      <w:r w:rsidR="00371191" w:rsidRPr="00110F73">
        <w:rPr>
          <w:b w:val="0"/>
          <w:sz w:val="24"/>
          <w:szCs w:val="24"/>
        </w:rPr>
        <w:t xml:space="preserve">psychological CE providers are </w:t>
      </w:r>
      <w:r w:rsidR="00286AB8">
        <w:rPr>
          <w:b w:val="0"/>
          <w:sz w:val="24"/>
          <w:szCs w:val="24"/>
        </w:rPr>
        <w:t xml:space="preserve">provided </w:t>
      </w:r>
      <w:r w:rsidR="00371191" w:rsidRPr="00110F73">
        <w:rPr>
          <w:b w:val="0"/>
          <w:sz w:val="24"/>
          <w:szCs w:val="24"/>
        </w:rPr>
        <w:t xml:space="preserve">with detailed </w:t>
      </w:r>
      <w:r w:rsidR="00B83B03" w:rsidRPr="00110F73">
        <w:rPr>
          <w:b w:val="0"/>
          <w:sz w:val="24"/>
          <w:szCs w:val="24"/>
        </w:rPr>
        <w:t xml:space="preserve">guidelines regarding the content requirements of </w:t>
      </w:r>
      <w:r w:rsidR="008E2391">
        <w:rPr>
          <w:b w:val="0"/>
          <w:sz w:val="24"/>
          <w:szCs w:val="24"/>
        </w:rPr>
        <w:t>CE</w:t>
      </w:r>
      <w:r w:rsidR="00E86E8B">
        <w:rPr>
          <w:b w:val="0"/>
          <w:sz w:val="24"/>
          <w:szCs w:val="24"/>
        </w:rPr>
        <w:t>s</w:t>
      </w:r>
      <w:r w:rsidR="00B83B03" w:rsidRPr="00110F73">
        <w:rPr>
          <w:b w:val="0"/>
          <w:sz w:val="24"/>
          <w:szCs w:val="24"/>
        </w:rPr>
        <w:t xml:space="preserve"> in their specialty </w:t>
      </w:r>
      <w:r w:rsidR="00286AB8" w:rsidRPr="00110F73">
        <w:rPr>
          <w:b w:val="0"/>
          <w:sz w:val="24"/>
          <w:szCs w:val="24"/>
        </w:rPr>
        <w:t xml:space="preserve">in advance of </w:t>
      </w:r>
      <w:r w:rsidR="00286AB8">
        <w:rPr>
          <w:b w:val="0"/>
          <w:sz w:val="24"/>
          <w:szCs w:val="24"/>
        </w:rPr>
        <w:t xml:space="preserve">DES </w:t>
      </w:r>
      <w:r w:rsidR="00286AB8" w:rsidRPr="00110F73">
        <w:rPr>
          <w:b w:val="0"/>
          <w:sz w:val="24"/>
          <w:szCs w:val="24"/>
        </w:rPr>
        <w:t>scheduling appointments</w:t>
      </w:r>
      <w:r w:rsidR="00286AB8">
        <w:rPr>
          <w:b w:val="0"/>
          <w:sz w:val="24"/>
          <w:szCs w:val="24"/>
        </w:rPr>
        <w:t xml:space="preserve"> with them</w:t>
      </w:r>
      <w:r w:rsidR="00B83B03" w:rsidRPr="00110F73">
        <w:rPr>
          <w:b w:val="0"/>
          <w:sz w:val="24"/>
          <w:szCs w:val="24"/>
        </w:rPr>
        <w:t>.</w:t>
      </w:r>
      <w:r w:rsidR="007531AF">
        <w:rPr>
          <w:rStyle w:val="FootnoteReference"/>
          <w:b w:val="0"/>
          <w:sz w:val="24"/>
          <w:szCs w:val="24"/>
        </w:rPr>
        <w:footnoteReference w:id="2"/>
      </w:r>
      <w:r w:rsidR="00286AB8">
        <w:rPr>
          <w:b w:val="0"/>
          <w:sz w:val="24"/>
          <w:szCs w:val="24"/>
        </w:rPr>
        <w:t xml:space="preserve">  </w:t>
      </w:r>
    </w:p>
    <w:p w:rsidR="00E86E8B" w:rsidRDefault="00E86E8B" w:rsidP="00E86E8B">
      <w:pPr>
        <w:pStyle w:val="BodyText"/>
        <w:ind w:left="1440" w:hanging="1440"/>
        <w:jc w:val="left"/>
        <w:rPr>
          <w:b w:val="0"/>
          <w:sz w:val="24"/>
          <w:szCs w:val="24"/>
        </w:rPr>
      </w:pPr>
    </w:p>
    <w:p w:rsidR="008900AB" w:rsidRPr="00110F73" w:rsidRDefault="00286AB8" w:rsidP="00E86E8B">
      <w:pPr>
        <w:pStyle w:val="BodyText"/>
        <w:ind w:left="1440"/>
        <w:jc w:val="left"/>
        <w:rPr>
          <w:b w:val="0"/>
          <w:sz w:val="24"/>
          <w:szCs w:val="24"/>
        </w:rPr>
      </w:pPr>
      <w:r>
        <w:rPr>
          <w:b w:val="0"/>
          <w:sz w:val="24"/>
          <w:szCs w:val="24"/>
        </w:rPr>
        <w:t xml:space="preserve">The following </w:t>
      </w:r>
      <w:r w:rsidR="00B13727">
        <w:rPr>
          <w:b w:val="0"/>
          <w:sz w:val="24"/>
          <w:szCs w:val="24"/>
        </w:rPr>
        <w:t xml:space="preserve">is an overview of the </w:t>
      </w:r>
      <w:r w:rsidR="0045104F">
        <w:rPr>
          <w:b w:val="0"/>
          <w:sz w:val="24"/>
          <w:szCs w:val="24"/>
        </w:rPr>
        <w:t xml:space="preserve">DR’s </w:t>
      </w:r>
      <w:r w:rsidR="00B13727">
        <w:rPr>
          <w:b w:val="0"/>
          <w:sz w:val="24"/>
          <w:szCs w:val="24"/>
        </w:rPr>
        <w:t>pr</w:t>
      </w:r>
      <w:r w:rsidR="000D78B5">
        <w:rPr>
          <w:b w:val="0"/>
          <w:sz w:val="24"/>
          <w:szCs w:val="24"/>
        </w:rPr>
        <w:t>inciple activities involved in</w:t>
      </w:r>
      <w:r w:rsidR="00B52AB6">
        <w:rPr>
          <w:b w:val="0"/>
          <w:sz w:val="24"/>
          <w:szCs w:val="24"/>
        </w:rPr>
        <w:t xml:space="preserve"> requesting medical and psychological CE’s.  DR’</w:t>
      </w:r>
      <w:r w:rsidR="004B3480">
        <w:rPr>
          <w:b w:val="0"/>
          <w:sz w:val="24"/>
          <w:szCs w:val="24"/>
        </w:rPr>
        <w:t>s refer to the CE Request G</w:t>
      </w:r>
      <w:r w:rsidR="00B52AB6">
        <w:rPr>
          <w:b w:val="0"/>
          <w:sz w:val="24"/>
          <w:szCs w:val="24"/>
        </w:rPr>
        <w:t xml:space="preserve">uidelines </w:t>
      </w:r>
      <w:r w:rsidR="004B3480">
        <w:rPr>
          <w:b w:val="0"/>
          <w:sz w:val="24"/>
          <w:szCs w:val="24"/>
        </w:rPr>
        <w:t xml:space="preserve">document </w:t>
      </w:r>
      <w:r w:rsidR="00B52AB6">
        <w:rPr>
          <w:b w:val="0"/>
          <w:sz w:val="24"/>
          <w:szCs w:val="24"/>
        </w:rPr>
        <w:t>for</w:t>
      </w:r>
      <w:r w:rsidR="00B244AB">
        <w:rPr>
          <w:b w:val="0"/>
          <w:sz w:val="24"/>
          <w:szCs w:val="24"/>
        </w:rPr>
        <w:t xml:space="preserve"> </w:t>
      </w:r>
      <w:r w:rsidR="00B52AB6">
        <w:rPr>
          <w:b w:val="0"/>
          <w:sz w:val="24"/>
          <w:szCs w:val="24"/>
        </w:rPr>
        <w:t>detailed instructions</w:t>
      </w:r>
      <w:r w:rsidR="00B244AB">
        <w:rPr>
          <w:b w:val="0"/>
          <w:sz w:val="24"/>
          <w:szCs w:val="24"/>
        </w:rPr>
        <w:t xml:space="preserve"> regarding </w:t>
      </w:r>
      <w:r w:rsidR="00974598">
        <w:rPr>
          <w:b w:val="0"/>
          <w:sz w:val="24"/>
          <w:szCs w:val="24"/>
        </w:rPr>
        <w:t>CE request data e</w:t>
      </w:r>
      <w:r w:rsidR="00B244AB">
        <w:rPr>
          <w:b w:val="0"/>
          <w:sz w:val="24"/>
          <w:szCs w:val="24"/>
        </w:rPr>
        <w:t xml:space="preserve">ntry, </w:t>
      </w:r>
      <w:r w:rsidR="00974598">
        <w:rPr>
          <w:b w:val="0"/>
          <w:sz w:val="24"/>
          <w:szCs w:val="24"/>
        </w:rPr>
        <w:t xml:space="preserve">CE </w:t>
      </w:r>
      <w:r w:rsidR="00B244AB">
        <w:rPr>
          <w:b w:val="0"/>
          <w:sz w:val="24"/>
          <w:szCs w:val="24"/>
        </w:rPr>
        <w:t>cancellations and other technical aspects</w:t>
      </w:r>
      <w:r w:rsidR="001757DF">
        <w:rPr>
          <w:b w:val="0"/>
          <w:sz w:val="24"/>
          <w:szCs w:val="24"/>
        </w:rPr>
        <w:t xml:space="preserve"> </w:t>
      </w:r>
      <w:r w:rsidR="00B244AB">
        <w:rPr>
          <w:b w:val="0"/>
          <w:sz w:val="24"/>
          <w:szCs w:val="24"/>
        </w:rPr>
        <w:t>related to requesting CEs</w:t>
      </w:r>
    </w:p>
    <w:p w:rsidR="008900AB" w:rsidRPr="00110F73" w:rsidRDefault="008900AB">
      <w:pPr>
        <w:pStyle w:val="BodyText"/>
        <w:jc w:val="left"/>
        <w:rPr>
          <w:sz w:val="24"/>
          <w:szCs w:val="24"/>
        </w:rPr>
      </w:pPr>
    </w:p>
    <w:p w:rsidR="008900AB" w:rsidRPr="00110F73" w:rsidRDefault="008A0424" w:rsidP="00E72AB7">
      <w:pPr>
        <w:pStyle w:val="BodyText"/>
        <w:numPr>
          <w:ilvl w:val="0"/>
          <w:numId w:val="6"/>
        </w:numPr>
        <w:jc w:val="left"/>
        <w:rPr>
          <w:b w:val="0"/>
          <w:sz w:val="24"/>
          <w:szCs w:val="24"/>
          <w:u w:val="single"/>
        </w:rPr>
      </w:pPr>
      <w:r w:rsidRPr="008C567D">
        <w:rPr>
          <w:sz w:val="24"/>
          <w:szCs w:val="24"/>
        </w:rPr>
        <w:t xml:space="preserve">Selecting the appropriate </w:t>
      </w:r>
      <w:r w:rsidR="00B83B03" w:rsidRPr="008C567D">
        <w:rPr>
          <w:sz w:val="24"/>
          <w:szCs w:val="24"/>
        </w:rPr>
        <w:t>s</w:t>
      </w:r>
      <w:r w:rsidRPr="008C567D">
        <w:rPr>
          <w:sz w:val="24"/>
          <w:szCs w:val="24"/>
        </w:rPr>
        <w:t>pecialty</w:t>
      </w:r>
      <w:r w:rsidR="00733C10">
        <w:rPr>
          <w:rStyle w:val="FootnoteReference"/>
          <w:sz w:val="24"/>
          <w:szCs w:val="24"/>
          <w:u w:val="single"/>
        </w:rPr>
        <w:footnoteReference w:id="3"/>
      </w:r>
      <w:r w:rsidR="00C71464">
        <w:rPr>
          <w:sz w:val="24"/>
          <w:szCs w:val="24"/>
        </w:rPr>
        <w:t xml:space="preserve"> </w:t>
      </w:r>
      <w:r w:rsidR="006B0CD0">
        <w:rPr>
          <w:rStyle w:val="FootnoteReference"/>
          <w:sz w:val="24"/>
          <w:szCs w:val="24"/>
        </w:rPr>
        <w:footnoteReference w:id="4"/>
      </w:r>
    </w:p>
    <w:p w:rsidR="008900AB" w:rsidRPr="00110F73" w:rsidRDefault="008900AB">
      <w:pPr>
        <w:pStyle w:val="BodyText"/>
        <w:ind w:left="1440"/>
        <w:jc w:val="left"/>
        <w:rPr>
          <w:b w:val="0"/>
          <w:sz w:val="24"/>
          <w:szCs w:val="24"/>
        </w:rPr>
      </w:pPr>
    </w:p>
    <w:p w:rsidR="008900AB" w:rsidRPr="00110F73" w:rsidRDefault="008A0424" w:rsidP="00460C75">
      <w:pPr>
        <w:pStyle w:val="BodyText"/>
        <w:ind w:left="1800"/>
        <w:jc w:val="left"/>
        <w:rPr>
          <w:b w:val="0"/>
          <w:sz w:val="24"/>
          <w:szCs w:val="24"/>
        </w:rPr>
      </w:pPr>
      <w:r w:rsidRPr="00110F73">
        <w:rPr>
          <w:b w:val="0"/>
          <w:sz w:val="24"/>
          <w:szCs w:val="24"/>
        </w:rPr>
        <w:t xml:space="preserve">For </w:t>
      </w:r>
      <w:r w:rsidR="00C26D57" w:rsidRPr="00110F73">
        <w:rPr>
          <w:b w:val="0"/>
          <w:sz w:val="24"/>
          <w:szCs w:val="24"/>
        </w:rPr>
        <w:t xml:space="preserve">multiple </w:t>
      </w:r>
      <w:r w:rsidRPr="00110F73">
        <w:rPr>
          <w:b w:val="0"/>
          <w:sz w:val="24"/>
          <w:szCs w:val="24"/>
        </w:rPr>
        <w:t xml:space="preserve">medical/surgical impairments, request an internal medicine specialty. For </w:t>
      </w:r>
      <w:r w:rsidR="00F6358D" w:rsidRPr="00110F73">
        <w:rPr>
          <w:b w:val="0"/>
          <w:sz w:val="24"/>
          <w:szCs w:val="24"/>
        </w:rPr>
        <w:t>claim(s) in only one body system,</w:t>
      </w:r>
      <w:r w:rsidRPr="00110F73">
        <w:rPr>
          <w:b w:val="0"/>
          <w:sz w:val="24"/>
          <w:szCs w:val="24"/>
        </w:rPr>
        <w:t xml:space="preserve"> select the most appropriate specialty</w:t>
      </w:r>
      <w:r w:rsidR="004B3480">
        <w:rPr>
          <w:b w:val="0"/>
          <w:sz w:val="24"/>
          <w:szCs w:val="24"/>
        </w:rPr>
        <w:t xml:space="preserve"> as in the following examples</w:t>
      </w:r>
      <w:r w:rsidRPr="00110F73">
        <w:rPr>
          <w:b w:val="0"/>
          <w:sz w:val="24"/>
          <w:szCs w:val="24"/>
        </w:rPr>
        <w:t>:</w:t>
      </w:r>
    </w:p>
    <w:p w:rsidR="008900AB" w:rsidRPr="00110F73" w:rsidRDefault="004B3480" w:rsidP="00656356">
      <w:pPr>
        <w:pStyle w:val="BodyText"/>
        <w:numPr>
          <w:ilvl w:val="0"/>
          <w:numId w:val="1"/>
        </w:numPr>
        <w:ind w:left="2160"/>
        <w:jc w:val="left"/>
        <w:rPr>
          <w:b w:val="0"/>
          <w:sz w:val="24"/>
          <w:szCs w:val="24"/>
        </w:rPr>
      </w:pPr>
      <w:r>
        <w:rPr>
          <w:b w:val="0"/>
          <w:sz w:val="24"/>
          <w:szCs w:val="24"/>
        </w:rPr>
        <w:t>F</w:t>
      </w:r>
      <w:r w:rsidR="008A0424" w:rsidRPr="00110F73">
        <w:rPr>
          <w:b w:val="0"/>
          <w:sz w:val="24"/>
          <w:szCs w:val="24"/>
        </w:rPr>
        <w:t>ractured tib</w:t>
      </w:r>
      <w:r w:rsidR="009C0151">
        <w:rPr>
          <w:b w:val="0"/>
          <w:sz w:val="24"/>
          <w:szCs w:val="24"/>
        </w:rPr>
        <w:t>ia</w:t>
      </w:r>
      <w:r w:rsidR="008A0424" w:rsidRPr="00110F73">
        <w:rPr>
          <w:b w:val="0"/>
          <w:sz w:val="24"/>
          <w:szCs w:val="24"/>
        </w:rPr>
        <w:t>/fib</w:t>
      </w:r>
      <w:r w:rsidR="009C0151">
        <w:rPr>
          <w:b w:val="0"/>
          <w:sz w:val="24"/>
          <w:szCs w:val="24"/>
        </w:rPr>
        <w:t>ula</w:t>
      </w:r>
      <w:r w:rsidR="00F05309">
        <w:rPr>
          <w:b w:val="0"/>
          <w:sz w:val="24"/>
          <w:szCs w:val="24"/>
        </w:rPr>
        <w:t>-</w:t>
      </w:r>
      <w:r w:rsidR="008A0424" w:rsidRPr="00110F73">
        <w:rPr>
          <w:b w:val="0"/>
          <w:sz w:val="24"/>
          <w:szCs w:val="24"/>
        </w:rPr>
        <w:t>select orthopedic.</w:t>
      </w:r>
    </w:p>
    <w:p w:rsidR="008900AB" w:rsidRPr="00110F73" w:rsidRDefault="004B3480" w:rsidP="00656356">
      <w:pPr>
        <w:pStyle w:val="BodyText"/>
        <w:numPr>
          <w:ilvl w:val="0"/>
          <w:numId w:val="1"/>
        </w:numPr>
        <w:ind w:left="2160"/>
        <w:jc w:val="left"/>
        <w:rPr>
          <w:b w:val="0"/>
          <w:sz w:val="24"/>
          <w:szCs w:val="24"/>
        </w:rPr>
      </w:pPr>
      <w:r>
        <w:rPr>
          <w:b w:val="0"/>
          <w:sz w:val="24"/>
          <w:szCs w:val="24"/>
        </w:rPr>
        <w:t>C</w:t>
      </w:r>
      <w:r w:rsidR="008A0424" w:rsidRPr="00110F73">
        <w:rPr>
          <w:b w:val="0"/>
          <w:sz w:val="24"/>
          <w:szCs w:val="24"/>
        </w:rPr>
        <w:t>ataracts/glaucoma</w:t>
      </w:r>
      <w:r w:rsidR="00F05309">
        <w:rPr>
          <w:b w:val="0"/>
          <w:sz w:val="24"/>
          <w:szCs w:val="24"/>
        </w:rPr>
        <w:t>-</w:t>
      </w:r>
      <w:r w:rsidR="008A0424" w:rsidRPr="00110F73">
        <w:rPr>
          <w:b w:val="0"/>
          <w:sz w:val="24"/>
          <w:szCs w:val="24"/>
        </w:rPr>
        <w:t xml:space="preserve">select </w:t>
      </w:r>
      <w:r>
        <w:rPr>
          <w:b w:val="0"/>
          <w:sz w:val="24"/>
          <w:szCs w:val="24"/>
        </w:rPr>
        <w:t>ophthalmo</w:t>
      </w:r>
      <w:r w:rsidR="002F5656">
        <w:rPr>
          <w:b w:val="0"/>
          <w:sz w:val="24"/>
          <w:szCs w:val="24"/>
        </w:rPr>
        <w:t>lo</w:t>
      </w:r>
      <w:r>
        <w:rPr>
          <w:b w:val="0"/>
          <w:sz w:val="24"/>
          <w:szCs w:val="24"/>
        </w:rPr>
        <w:t>gical</w:t>
      </w:r>
      <w:r w:rsidR="002F5656">
        <w:rPr>
          <w:b w:val="0"/>
          <w:sz w:val="24"/>
          <w:szCs w:val="24"/>
        </w:rPr>
        <w:t>.</w:t>
      </w:r>
      <w:r>
        <w:rPr>
          <w:b w:val="0"/>
          <w:sz w:val="24"/>
          <w:szCs w:val="24"/>
        </w:rPr>
        <w:t xml:space="preserve"> </w:t>
      </w:r>
    </w:p>
    <w:p w:rsidR="008900AB" w:rsidRDefault="004B3480" w:rsidP="00656356">
      <w:pPr>
        <w:pStyle w:val="BodyText"/>
        <w:numPr>
          <w:ilvl w:val="0"/>
          <w:numId w:val="1"/>
        </w:numPr>
        <w:ind w:left="2160"/>
        <w:jc w:val="left"/>
        <w:rPr>
          <w:b w:val="0"/>
          <w:sz w:val="24"/>
          <w:szCs w:val="24"/>
        </w:rPr>
      </w:pPr>
      <w:r>
        <w:rPr>
          <w:b w:val="0"/>
          <w:sz w:val="24"/>
          <w:szCs w:val="24"/>
        </w:rPr>
        <w:t>R</w:t>
      </w:r>
      <w:r w:rsidR="008A0424" w:rsidRPr="00110F73">
        <w:rPr>
          <w:b w:val="0"/>
          <w:sz w:val="24"/>
          <w:szCs w:val="24"/>
        </w:rPr>
        <w:t>eflex sympathetic dystrophy</w:t>
      </w:r>
      <w:r w:rsidR="00F05309">
        <w:rPr>
          <w:b w:val="0"/>
          <w:sz w:val="24"/>
          <w:szCs w:val="24"/>
        </w:rPr>
        <w:t>-</w:t>
      </w:r>
      <w:r w:rsidR="008A0424" w:rsidRPr="00110F73">
        <w:rPr>
          <w:b w:val="0"/>
          <w:sz w:val="24"/>
          <w:szCs w:val="24"/>
        </w:rPr>
        <w:t>select neurologi</w:t>
      </w:r>
      <w:r w:rsidR="00F37C42">
        <w:rPr>
          <w:b w:val="0"/>
          <w:sz w:val="24"/>
          <w:szCs w:val="24"/>
        </w:rPr>
        <w:t>cal</w:t>
      </w:r>
      <w:r w:rsidR="002F5656">
        <w:rPr>
          <w:b w:val="0"/>
          <w:sz w:val="24"/>
          <w:szCs w:val="24"/>
        </w:rPr>
        <w:t>.</w:t>
      </w:r>
    </w:p>
    <w:p w:rsidR="00334184" w:rsidRDefault="00334184" w:rsidP="00334184">
      <w:pPr>
        <w:pStyle w:val="BodyText"/>
        <w:jc w:val="left"/>
        <w:rPr>
          <w:b w:val="0"/>
          <w:sz w:val="24"/>
          <w:szCs w:val="24"/>
        </w:rPr>
      </w:pPr>
    </w:p>
    <w:p w:rsidR="00334184" w:rsidRDefault="00EB3372" w:rsidP="00BE4889">
      <w:pPr>
        <w:pStyle w:val="BodyText"/>
        <w:ind w:left="1800"/>
        <w:jc w:val="left"/>
        <w:rPr>
          <w:b w:val="0"/>
          <w:sz w:val="24"/>
          <w:szCs w:val="24"/>
        </w:rPr>
      </w:pPr>
      <w:r>
        <w:rPr>
          <w:b w:val="0"/>
          <w:sz w:val="24"/>
          <w:szCs w:val="24"/>
        </w:rPr>
        <w:t>For mental impairments, determine if a psychological or psychiatric examination is most appropriate</w:t>
      </w:r>
      <w:r w:rsidR="00EF190B">
        <w:rPr>
          <w:b w:val="0"/>
          <w:sz w:val="24"/>
          <w:szCs w:val="24"/>
        </w:rPr>
        <w:t xml:space="preserve"> and what, if any, testing is needed</w:t>
      </w:r>
      <w:r>
        <w:rPr>
          <w:b w:val="0"/>
          <w:sz w:val="24"/>
          <w:szCs w:val="24"/>
        </w:rPr>
        <w:t>.</w:t>
      </w:r>
      <w:r>
        <w:rPr>
          <w:rStyle w:val="FootnoteReference"/>
          <w:b w:val="0"/>
          <w:sz w:val="24"/>
          <w:szCs w:val="24"/>
        </w:rPr>
        <w:footnoteReference w:id="5"/>
      </w:r>
    </w:p>
    <w:p w:rsidR="00880B87" w:rsidRDefault="00880B87" w:rsidP="00BE4889">
      <w:pPr>
        <w:pStyle w:val="BodyText"/>
        <w:ind w:left="1800"/>
        <w:jc w:val="left"/>
        <w:rPr>
          <w:b w:val="0"/>
          <w:sz w:val="24"/>
          <w:szCs w:val="24"/>
        </w:rPr>
      </w:pPr>
    </w:p>
    <w:p w:rsidR="00880B87" w:rsidRPr="00110F73" w:rsidRDefault="00880B87" w:rsidP="00BE4889">
      <w:pPr>
        <w:pStyle w:val="BodyText"/>
        <w:ind w:left="1800"/>
        <w:jc w:val="left"/>
        <w:rPr>
          <w:b w:val="0"/>
          <w:sz w:val="24"/>
          <w:szCs w:val="24"/>
        </w:rPr>
      </w:pPr>
    </w:p>
    <w:p w:rsidR="008900AB" w:rsidRPr="00110F73" w:rsidRDefault="008900AB">
      <w:pPr>
        <w:pStyle w:val="BodyText"/>
        <w:jc w:val="left"/>
        <w:rPr>
          <w:b w:val="0"/>
          <w:sz w:val="24"/>
          <w:szCs w:val="24"/>
        </w:rPr>
      </w:pPr>
    </w:p>
    <w:p w:rsidR="001205BA" w:rsidRPr="009B4CF2" w:rsidRDefault="00F846AA" w:rsidP="00E72AB7">
      <w:pPr>
        <w:pStyle w:val="BodyText"/>
        <w:numPr>
          <w:ilvl w:val="0"/>
          <w:numId w:val="6"/>
        </w:numPr>
        <w:jc w:val="left"/>
        <w:rPr>
          <w:b w:val="0"/>
          <w:sz w:val="24"/>
          <w:szCs w:val="24"/>
        </w:rPr>
      </w:pPr>
      <w:r>
        <w:rPr>
          <w:sz w:val="24"/>
          <w:szCs w:val="24"/>
        </w:rPr>
        <w:t xml:space="preserve">Special Instructions to the CE Provider </w:t>
      </w:r>
      <w:r w:rsidRPr="009B4CF2">
        <w:rPr>
          <w:b w:val="0"/>
          <w:sz w:val="24"/>
          <w:szCs w:val="24"/>
        </w:rPr>
        <w:t>(</w:t>
      </w:r>
      <w:r w:rsidR="008A0424" w:rsidRPr="009B4CF2">
        <w:rPr>
          <w:b w:val="0"/>
          <w:sz w:val="24"/>
          <w:szCs w:val="24"/>
        </w:rPr>
        <w:t xml:space="preserve">Documenting the “MD Notes” </w:t>
      </w:r>
      <w:r w:rsidR="00AB6A62">
        <w:rPr>
          <w:b w:val="0"/>
          <w:sz w:val="24"/>
          <w:szCs w:val="24"/>
        </w:rPr>
        <w:t xml:space="preserve">function </w:t>
      </w:r>
      <w:r w:rsidR="004C590E" w:rsidRPr="009B4CF2">
        <w:rPr>
          <w:b w:val="0"/>
          <w:sz w:val="24"/>
          <w:szCs w:val="24"/>
        </w:rPr>
        <w:t xml:space="preserve">in </w:t>
      </w:r>
      <w:proofErr w:type="spellStart"/>
      <w:r w:rsidR="004C590E" w:rsidRPr="009B4CF2">
        <w:rPr>
          <w:b w:val="0"/>
          <w:sz w:val="24"/>
          <w:szCs w:val="24"/>
        </w:rPr>
        <w:t>DEScovery</w:t>
      </w:r>
      <w:proofErr w:type="spellEnd"/>
      <w:r w:rsidRPr="009B4CF2">
        <w:rPr>
          <w:b w:val="0"/>
          <w:sz w:val="24"/>
          <w:szCs w:val="24"/>
        </w:rPr>
        <w:t>)</w:t>
      </w:r>
      <w:r w:rsidR="004C590E" w:rsidRPr="009B4CF2">
        <w:rPr>
          <w:b w:val="0"/>
          <w:sz w:val="24"/>
          <w:szCs w:val="24"/>
        </w:rPr>
        <w:t xml:space="preserve"> </w:t>
      </w:r>
    </w:p>
    <w:p w:rsidR="001205BA" w:rsidRPr="00110F73" w:rsidRDefault="001205BA">
      <w:pPr>
        <w:pStyle w:val="BodyText"/>
        <w:jc w:val="left"/>
        <w:rPr>
          <w:sz w:val="24"/>
          <w:szCs w:val="24"/>
          <w:u w:val="single"/>
        </w:rPr>
      </w:pPr>
    </w:p>
    <w:p w:rsidR="001205BA" w:rsidRDefault="00E27149" w:rsidP="003B21D6">
      <w:pPr>
        <w:pStyle w:val="BodyText"/>
        <w:ind w:left="1800"/>
        <w:jc w:val="left"/>
        <w:rPr>
          <w:b w:val="0"/>
          <w:sz w:val="24"/>
          <w:szCs w:val="24"/>
        </w:rPr>
      </w:pPr>
      <w:r w:rsidRPr="00110F73">
        <w:rPr>
          <w:b w:val="0"/>
          <w:sz w:val="24"/>
          <w:szCs w:val="24"/>
        </w:rPr>
        <w:t>Enter all relevant impairments/diagnoses/claims.</w:t>
      </w:r>
    </w:p>
    <w:p w:rsidR="003B21D6" w:rsidRPr="00110F73" w:rsidRDefault="003B21D6" w:rsidP="003B21D6">
      <w:pPr>
        <w:pStyle w:val="BodyText"/>
        <w:ind w:left="1800"/>
        <w:jc w:val="left"/>
        <w:rPr>
          <w:b w:val="0"/>
          <w:sz w:val="24"/>
          <w:szCs w:val="24"/>
        </w:rPr>
      </w:pPr>
    </w:p>
    <w:p w:rsidR="00332E7B" w:rsidRDefault="00E27149" w:rsidP="003B21D6">
      <w:pPr>
        <w:pStyle w:val="BodyText"/>
        <w:ind w:left="1800"/>
        <w:jc w:val="left"/>
        <w:rPr>
          <w:b w:val="0"/>
          <w:sz w:val="24"/>
          <w:szCs w:val="24"/>
        </w:rPr>
      </w:pPr>
      <w:r w:rsidRPr="00110F73">
        <w:rPr>
          <w:b w:val="0"/>
          <w:sz w:val="24"/>
          <w:szCs w:val="24"/>
        </w:rPr>
        <w:t xml:space="preserve">When DES is relying on the CE provider to complete the </w:t>
      </w:r>
      <w:r w:rsidRPr="008C567D">
        <w:rPr>
          <w:b w:val="0"/>
          <w:sz w:val="24"/>
          <w:szCs w:val="24"/>
          <w:u w:val="single"/>
        </w:rPr>
        <w:t>t</w:t>
      </w:r>
      <w:r w:rsidRPr="00AB6A62">
        <w:rPr>
          <w:b w:val="0"/>
          <w:sz w:val="24"/>
          <w:szCs w:val="24"/>
        </w:rPr>
        <w:t>esting</w:t>
      </w:r>
      <w:r w:rsidR="00F76CC7" w:rsidRPr="00AB6A62">
        <w:rPr>
          <w:b w:val="0"/>
          <w:sz w:val="24"/>
          <w:szCs w:val="24"/>
        </w:rPr>
        <w:t xml:space="preserve"> </w:t>
      </w:r>
      <w:r w:rsidR="00F76CC7" w:rsidRPr="008C567D">
        <w:rPr>
          <w:b w:val="0"/>
          <w:sz w:val="24"/>
          <w:szCs w:val="24"/>
          <w:u w:val="single"/>
        </w:rPr>
        <w:t>only</w:t>
      </w:r>
      <w:r w:rsidR="00E312B3" w:rsidRPr="008C567D">
        <w:rPr>
          <w:b w:val="0"/>
          <w:sz w:val="24"/>
          <w:szCs w:val="24"/>
          <w:u w:val="single"/>
        </w:rPr>
        <w:t xml:space="preserve"> if indicated</w:t>
      </w:r>
      <w:r w:rsidR="00F16D70" w:rsidRPr="00110F73">
        <w:rPr>
          <w:b w:val="0"/>
          <w:sz w:val="24"/>
          <w:szCs w:val="24"/>
        </w:rPr>
        <w:t xml:space="preserve"> </w:t>
      </w:r>
      <w:r w:rsidR="00F76CC7" w:rsidRPr="00110F73">
        <w:rPr>
          <w:b w:val="0"/>
          <w:sz w:val="24"/>
          <w:szCs w:val="24"/>
        </w:rPr>
        <w:t xml:space="preserve">by the examination, instruct them to do the relevant testing </w:t>
      </w:r>
      <w:r w:rsidR="00F16D70" w:rsidRPr="00110F73">
        <w:rPr>
          <w:b w:val="0"/>
          <w:sz w:val="24"/>
          <w:szCs w:val="24"/>
        </w:rPr>
        <w:t xml:space="preserve"> “</w:t>
      </w:r>
      <w:r w:rsidR="00F76CC7" w:rsidRPr="00110F73">
        <w:rPr>
          <w:b w:val="0"/>
          <w:sz w:val="24"/>
          <w:szCs w:val="24"/>
        </w:rPr>
        <w:t>….only as indicated by positive exam findings.”</w:t>
      </w:r>
    </w:p>
    <w:p w:rsidR="003B21D6" w:rsidRPr="00110F73" w:rsidRDefault="00281AB2" w:rsidP="003B21D6">
      <w:pPr>
        <w:pStyle w:val="BodyText"/>
        <w:ind w:left="1800"/>
        <w:jc w:val="left"/>
        <w:rPr>
          <w:b w:val="0"/>
          <w:sz w:val="24"/>
          <w:szCs w:val="24"/>
        </w:rPr>
      </w:pPr>
      <w:r w:rsidRPr="00110F73">
        <w:rPr>
          <w:b w:val="0"/>
          <w:sz w:val="24"/>
          <w:szCs w:val="24"/>
        </w:rPr>
        <w:t xml:space="preserve">  </w:t>
      </w:r>
    </w:p>
    <w:p w:rsidR="009B463C" w:rsidRDefault="006434C7" w:rsidP="003B21D6">
      <w:pPr>
        <w:pStyle w:val="BodyText"/>
        <w:ind w:left="1800"/>
        <w:jc w:val="left"/>
        <w:rPr>
          <w:b w:val="0"/>
          <w:sz w:val="24"/>
          <w:szCs w:val="24"/>
        </w:rPr>
      </w:pPr>
      <w:r w:rsidRPr="00110F73">
        <w:rPr>
          <w:b w:val="0"/>
          <w:sz w:val="24"/>
          <w:szCs w:val="24"/>
        </w:rPr>
        <w:lastRenderedPageBreak/>
        <w:t>If there is something in the current or prior episodes that in the DR’s clinical judgment woul</w:t>
      </w:r>
      <w:r w:rsidR="00473FFA" w:rsidRPr="00110F73">
        <w:rPr>
          <w:b w:val="0"/>
          <w:sz w:val="24"/>
          <w:szCs w:val="24"/>
        </w:rPr>
        <w:t>d be important and/or useful to</w:t>
      </w:r>
      <w:r w:rsidRPr="00110F73">
        <w:rPr>
          <w:b w:val="0"/>
          <w:sz w:val="24"/>
          <w:szCs w:val="24"/>
        </w:rPr>
        <w:t xml:space="preserve"> the CE provider</w:t>
      </w:r>
      <w:r w:rsidR="00627758" w:rsidRPr="00110F73">
        <w:rPr>
          <w:b w:val="0"/>
          <w:sz w:val="24"/>
          <w:szCs w:val="24"/>
        </w:rPr>
        <w:t>,</w:t>
      </w:r>
      <w:r w:rsidR="003B21D6">
        <w:rPr>
          <w:b w:val="0"/>
          <w:sz w:val="24"/>
          <w:szCs w:val="24"/>
        </w:rPr>
        <w:t xml:space="preserve"> </w:t>
      </w:r>
      <w:r w:rsidR="00627758" w:rsidRPr="00110F73">
        <w:rPr>
          <w:b w:val="0"/>
          <w:sz w:val="24"/>
          <w:szCs w:val="24"/>
        </w:rPr>
        <w:t>that information is</w:t>
      </w:r>
      <w:r w:rsidRPr="00110F73">
        <w:rPr>
          <w:b w:val="0"/>
          <w:sz w:val="24"/>
          <w:szCs w:val="24"/>
        </w:rPr>
        <w:t xml:space="preserve"> entered in “MD notes.” </w:t>
      </w:r>
    </w:p>
    <w:p w:rsidR="00051243" w:rsidRDefault="00051243" w:rsidP="003B21D6">
      <w:pPr>
        <w:pStyle w:val="BodyText"/>
        <w:ind w:left="1800"/>
        <w:jc w:val="left"/>
        <w:rPr>
          <w:b w:val="0"/>
          <w:sz w:val="24"/>
          <w:szCs w:val="24"/>
        </w:rPr>
      </w:pPr>
    </w:p>
    <w:p w:rsidR="00051243" w:rsidRPr="009B4CF2" w:rsidRDefault="00051243" w:rsidP="00051243">
      <w:pPr>
        <w:pStyle w:val="BodyText"/>
        <w:numPr>
          <w:ilvl w:val="0"/>
          <w:numId w:val="6"/>
        </w:numPr>
        <w:jc w:val="left"/>
        <w:rPr>
          <w:b w:val="0"/>
          <w:sz w:val="24"/>
          <w:szCs w:val="24"/>
        </w:rPr>
      </w:pPr>
      <w:r w:rsidRPr="00051243">
        <w:rPr>
          <w:sz w:val="24"/>
          <w:szCs w:val="24"/>
        </w:rPr>
        <w:t xml:space="preserve">Ordering </w:t>
      </w:r>
      <w:r w:rsidR="00447B70" w:rsidRPr="00332E7B">
        <w:rPr>
          <w:sz w:val="24"/>
          <w:szCs w:val="24"/>
          <w:u w:val="single"/>
        </w:rPr>
        <w:t>Required</w:t>
      </w:r>
      <w:r w:rsidR="00447B70">
        <w:rPr>
          <w:sz w:val="24"/>
          <w:szCs w:val="24"/>
        </w:rPr>
        <w:t xml:space="preserve"> T</w:t>
      </w:r>
      <w:r w:rsidRPr="00051243">
        <w:rPr>
          <w:sz w:val="24"/>
          <w:szCs w:val="24"/>
        </w:rPr>
        <w:t>ests</w:t>
      </w:r>
      <w:r w:rsidR="002B1D60">
        <w:rPr>
          <w:sz w:val="24"/>
          <w:szCs w:val="24"/>
        </w:rPr>
        <w:t xml:space="preserve"> </w:t>
      </w:r>
      <w:r w:rsidR="00230FDF">
        <w:rPr>
          <w:sz w:val="24"/>
          <w:szCs w:val="24"/>
        </w:rPr>
        <w:t>(</w:t>
      </w:r>
      <w:proofErr w:type="spellStart"/>
      <w:r w:rsidR="002B1D60" w:rsidRPr="009B4CF2">
        <w:rPr>
          <w:b w:val="0"/>
          <w:sz w:val="24"/>
          <w:szCs w:val="24"/>
        </w:rPr>
        <w:t>DEScovery</w:t>
      </w:r>
      <w:proofErr w:type="spellEnd"/>
      <w:r w:rsidR="00230FDF" w:rsidRPr="009B4CF2">
        <w:rPr>
          <w:b w:val="0"/>
          <w:sz w:val="24"/>
          <w:szCs w:val="24"/>
        </w:rPr>
        <w:t xml:space="preserve"> ‘Select Authorized Test’</w:t>
      </w:r>
      <w:r w:rsidR="009B4CF2" w:rsidRPr="009B4CF2">
        <w:rPr>
          <w:b w:val="0"/>
          <w:sz w:val="24"/>
          <w:szCs w:val="24"/>
        </w:rPr>
        <w:t xml:space="preserve"> function)</w:t>
      </w:r>
    </w:p>
    <w:p w:rsidR="00436C6D" w:rsidRDefault="006434C7">
      <w:pPr>
        <w:pStyle w:val="BodyText"/>
        <w:ind w:left="1800"/>
        <w:jc w:val="left"/>
        <w:rPr>
          <w:b w:val="0"/>
          <w:sz w:val="24"/>
          <w:szCs w:val="24"/>
        </w:rPr>
      </w:pPr>
      <w:r w:rsidRPr="00110F73">
        <w:rPr>
          <w:b w:val="0"/>
          <w:sz w:val="24"/>
          <w:szCs w:val="24"/>
        </w:rPr>
        <w:t xml:space="preserve"> </w:t>
      </w:r>
    </w:p>
    <w:p w:rsidR="008900AB" w:rsidRDefault="00447B70" w:rsidP="00447B70">
      <w:pPr>
        <w:pStyle w:val="BodyText"/>
        <w:ind w:left="1800"/>
        <w:jc w:val="left"/>
        <w:rPr>
          <w:b w:val="0"/>
          <w:sz w:val="24"/>
          <w:szCs w:val="24"/>
        </w:rPr>
      </w:pPr>
      <w:r>
        <w:rPr>
          <w:b w:val="0"/>
          <w:sz w:val="24"/>
          <w:szCs w:val="24"/>
        </w:rPr>
        <w:t>Select the corr</w:t>
      </w:r>
      <w:r w:rsidR="002B1D60">
        <w:rPr>
          <w:b w:val="0"/>
          <w:sz w:val="24"/>
          <w:szCs w:val="24"/>
        </w:rPr>
        <w:t xml:space="preserve">ect CPT code from the </w:t>
      </w:r>
      <w:r>
        <w:rPr>
          <w:b w:val="0"/>
          <w:sz w:val="24"/>
          <w:szCs w:val="24"/>
        </w:rPr>
        <w:t>“Select Authorized Test”</w:t>
      </w:r>
      <w:r w:rsidR="008C567D">
        <w:rPr>
          <w:b w:val="0"/>
          <w:sz w:val="24"/>
          <w:szCs w:val="24"/>
        </w:rPr>
        <w:t xml:space="preserve"> </w:t>
      </w:r>
      <w:r w:rsidR="008F2665">
        <w:rPr>
          <w:b w:val="0"/>
          <w:sz w:val="24"/>
          <w:szCs w:val="24"/>
        </w:rPr>
        <w:t>drop-down.</w:t>
      </w:r>
      <w:r w:rsidR="002F5656">
        <w:rPr>
          <w:b w:val="0"/>
          <w:sz w:val="24"/>
          <w:szCs w:val="24"/>
        </w:rPr>
        <w:t xml:space="preserve"> </w:t>
      </w:r>
    </w:p>
    <w:p w:rsidR="00055B1A" w:rsidRDefault="00055B1A" w:rsidP="00447B70">
      <w:pPr>
        <w:pStyle w:val="BodyText"/>
        <w:ind w:left="1800"/>
        <w:jc w:val="left"/>
        <w:rPr>
          <w:b w:val="0"/>
          <w:sz w:val="24"/>
          <w:szCs w:val="24"/>
        </w:rPr>
      </w:pPr>
    </w:p>
    <w:p w:rsidR="00055B1A" w:rsidRPr="00110F73" w:rsidRDefault="00880B87" w:rsidP="00447B70">
      <w:pPr>
        <w:pStyle w:val="BodyText"/>
        <w:ind w:left="1800"/>
        <w:jc w:val="left"/>
        <w:rPr>
          <w:b w:val="0"/>
          <w:sz w:val="24"/>
          <w:szCs w:val="24"/>
        </w:rPr>
      </w:pPr>
      <w:r>
        <w:rPr>
          <w:b w:val="0"/>
          <w:sz w:val="24"/>
          <w:szCs w:val="24"/>
        </w:rPr>
        <w:t xml:space="preserve">Note:  </w:t>
      </w:r>
      <w:r w:rsidR="00055B1A">
        <w:rPr>
          <w:b w:val="0"/>
          <w:sz w:val="24"/>
          <w:szCs w:val="24"/>
        </w:rPr>
        <w:t xml:space="preserve">Always consult </w:t>
      </w:r>
      <w:r w:rsidR="00533C78">
        <w:rPr>
          <w:b w:val="0"/>
          <w:sz w:val="24"/>
          <w:szCs w:val="24"/>
        </w:rPr>
        <w:t xml:space="preserve">your </w:t>
      </w:r>
      <w:r w:rsidR="00C00C53">
        <w:rPr>
          <w:b w:val="0"/>
          <w:sz w:val="24"/>
          <w:szCs w:val="24"/>
        </w:rPr>
        <w:t>Supervisor</w:t>
      </w:r>
      <w:r w:rsidR="00533C78">
        <w:rPr>
          <w:b w:val="0"/>
          <w:sz w:val="24"/>
          <w:szCs w:val="24"/>
        </w:rPr>
        <w:t xml:space="preserve"> </w:t>
      </w:r>
      <w:r w:rsidR="00055B1A">
        <w:rPr>
          <w:b w:val="0"/>
          <w:sz w:val="24"/>
          <w:szCs w:val="24"/>
        </w:rPr>
        <w:t xml:space="preserve">before requesting an </w:t>
      </w:r>
      <w:r w:rsidR="00793649">
        <w:rPr>
          <w:b w:val="0"/>
          <w:sz w:val="24"/>
          <w:szCs w:val="24"/>
        </w:rPr>
        <w:t>unauthorized</w:t>
      </w:r>
      <w:r w:rsidR="00055B1A">
        <w:rPr>
          <w:b w:val="0"/>
          <w:sz w:val="24"/>
          <w:szCs w:val="24"/>
        </w:rPr>
        <w:t xml:space="preserve"> test.</w:t>
      </w:r>
    </w:p>
    <w:p w:rsidR="008900AB" w:rsidRPr="00110F73" w:rsidRDefault="008900AB">
      <w:pPr>
        <w:pStyle w:val="BodyText"/>
        <w:jc w:val="left"/>
        <w:rPr>
          <w:b w:val="0"/>
          <w:sz w:val="24"/>
          <w:szCs w:val="24"/>
        </w:rPr>
      </w:pPr>
    </w:p>
    <w:p w:rsidR="008900AB" w:rsidRPr="00110F73" w:rsidRDefault="008900AB">
      <w:pPr>
        <w:pStyle w:val="BodyText"/>
        <w:jc w:val="left"/>
        <w:rPr>
          <w:b w:val="0"/>
          <w:sz w:val="24"/>
          <w:szCs w:val="24"/>
        </w:rPr>
      </w:pPr>
    </w:p>
    <w:p w:rsidR="008900AB" w:rsidRPr="00110F73" w:rsidRDefault="008A0424">
      <w:pPr>
        <w:pStyle w:val="BodyText"/>
        <w:pBdr>
          <w:top w:val="single" w:sz="12" w:space="1" w:color="auto"/>
        </w:pBdr>
        <w:jc w:val="left"/>
        <w:rPr>
          <w:b w:val="0"/>
          <w:sz w:val="24"/>
          <w:szCs w:val="24"/>
        </w:rPr>
      </w:pPr>
      <w:r w:rsidRPr="00110F73">
        <w:rPr>
          <w:sz w:val="24"/>
          <w:szCs w:val="24"/>
        </w:rPr>
        <w:t>Summary</w:t>
      </w:r>
      <w:r w:rsidRPr="00110F73">
        <w:rPr>
          <w:b w:val="0"/>
          <w:sz w:val="24"/>
          <w:szCs w:val="24"/>
        </w:rPr>
        <w:t>:</w:t>
      </w:r>
    </w:p>
    <w:p w:rsidR="008900AB" w:rsidRPr="00110F73" w:rsidRDefault="008A0424">
      <w:pPr>
        <w:pStyle w:val="BodyText"/>
        <w:jc w:val="left"/>
        <w:rPr>
          <w:b w:val="0"/>
          <w:sz w:val="24"/>
          <w:szCs w:val="24"/>
        </w:rPr>
      </w:pPr>
      <w:r w:rsidRPr="00110F73">
        <w:rPr>
          <w:b w:val="0"/>
          <w:sz w:val="24"/>
          <w:szCs w:val="24"/>
        </w:rPr>
        <w:tab/>
      </w:r>
      <w:r w:rsidRPr="00110F73">
        <w:rPr>
          <w:b w:val="0"/>
          <w:sz w:val="24"/>
          <w:szCs w:val="24"/>
        </w:rPr>
        <w:tab/>
      </w:r>
      <w:r w:rsidRPr="00110F73">
        <w:rPr>
          <w:b w:val="0"/>
          <w:sz w:val="24"/>
          <w:szCs w:val="24"/>
        </w:rPr>
        <w:tab/>
      </w:r>
      <w:r w:rsidRPr="00110F73">
        <w:rPr>
          <w:b w:val="0"/>
          <w:sz w:val="24"/>
          <w:szCs w:val="24"/>
        </w:rPr>
        <w:tab/>
      </w:r>
      <w:r w:rsidRPr="00110F73">
        <w:rPr>
          <w:b w:val="0"/>
          <w:sz w:val="24"/>
          <w:szCs w:val="24"/>
        </w:rPr>
        <w:tab/>
      </w:r>
      <w:r w:rsidRPr="00110F73">
        <w:rPr>
          <w:b w:val="0"/>
          <w:sz w:val="24"/>
          <w:szCs w:val="24"/>
        </w:rPr>
        <w:tab/>
      </w:r>
      <w:r w:rsidRPr="00110F73">
        <w:rPr>
          <w:b w:val="0"/>
          <w:sz w:val="24"/>
          <w:szCs w:val="24"/>
        </w:rPr>
        <w:tab/>
      </w:r>
      <w:r w:rsidRPr="00110F73">
        <w:rPr>
          <w:b w:val="0"/>
          <w:sz w:val="24"/>
          <w:szCs w:val="24"/>
        </w:rPr>
        <w:tab/>
      </w:r>
      <w:r w:rsidRPr="00110F73">
        <w:rPr>
          <w:b w:val="0"/>
          <w:sz w:val="24"/>
          <w:szCs w:val="24"/>
        </w:rPr>
        <w:tab/>
      </w:r>
      <w:r w:rsidRPr="00110F73">
        <w:rPr>
          <w:b w:val="0"/>
          <w:sz w:val="24"/>
          <w:szCs w:val="24"/>
        </w:rPr>
        <w:tab/>
      </w:r>
    </w:p>
    <w:p w:rsidR="008A0424" w:rsidRPr="00110F73" w:rsidRDefault="008A0424">
      <w:pPr>
        <w:pStyle w:val="BodyText"/>
        <w:jc w:val="left"/>
        <w:rPr>
          <w:b w:val="0"/>
          <w:sz w:val="24"/>
          <w:szCs w:val="24"/>
        </w:rPr>
      </w:pPr>
      <w:r w:rsidRPr="00110F73">
        <w:rPr>
          <w:b w:val="0"/>
          <w:sz w:val="24"/>
          <w:szCs w:val="24"/>
        </w:rPr>
        <w:t>Consultative examinations are required when the reviewer is unable to make a decision with the available information. An appropriate CE provider and testing should be requested according to the client’s impairment(s).</w:t>
      </w:r>
    </w:p>
    <w:sectPr w:rsidR="008A0424" w:rsidRPr="00110F73" w:rsidSect="008900AB">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40A" w:rsidRDefault="0074740A" w:rsidP="007531AF">
      <w:r>
        <w:separator/>
      </w:r>
    </w:p>
  </w:endnote>
  <w:endnote w:type="continuationSeparator" w:id="0">
    <w:p w:rsidR="0074740A" w:rsidRDefault="0074740A" w:rsidP="007531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53" w:rsidRDefault="00B04A53" w:rsidP="00533C78">
    <w:pPr>
      <w:autoSpaceDE w:val="0"/>
      <w:autoSpaceDN w:val="0"/>
      <w:adjustRightInd w:val="0"/>
      <w:rPr>
        <w:i/>
      </w:rPr>
    </w:pPr>
  </w:p>
  <w:p w:rsidR="00533C78" w:rsidRPr="00F119F9" w:rsidRDefault="00533C78" w:rsidP="00533C78">
    <w:pPr>
      <w:autoSpaceDE w:val="0"/>
      <w:autoSpaceDN w:val="0"/>
      <w:adjustRightInd w:val="0"/>
      <w:rPr>
        <w:i/>
      </w:rPr>
    </w:pPr>
    <w:r w:rsidRPr="00F119F9">
      <w:rPr>
        <w:i/>
      </w:rPr>
      <w:t>Revision #</w:t>
    </w:r>
    <w:r w:rsidR="00B57F9E">
      <w:rPr>
        <w:i/>
      </w:rPr>
      <w:t>1</w:t>
    </w:r>
    <w:r w:rsidR="009C0B32">
      <w:rPr>
        <w:i/>
      </w:rPr>
      <w:t xml:space="preserve"> supersedes PS 00-3</w:t>
    </w:r>
    <w:r w:rsidRPr="00F119F9">
      <w:rPr>
        <w:i/>
      </w:rPr>
      <w:t xml:space="preserve"> “</w:t>
    </w:r>
    <w:r w:rsidR="009C0B32">
      <w:rPr>
        <w:i/>
      </w:rPr>
      <w:t xml:space="preserve">Requesting Consultative Examinations (CE) </w:t>
    </w:r>
    <w:r w:rsidRPr="00F119F9">
      <w:rPr>
        <w:i/>
      </w:rPr>
      <w:t xml:space="preserve">dated </w:t>
    </w:r>
    <w:r w:rsidR="00B57F9E">
      <w:rPr>
        <w:i/>
      </w:rPr>
      <w:t>May 30, 2000.</w:t>
    </w:r>
  </w:p>
  <w:p w:rsidR="00C63557" w:rsidRDefault="00C63557">
    <w:pPr>
      <w:pStyle w:val="Footer"/>
    </w:pPr>
  </w:p>
  <w:p w:rsidR="00C63557" w:rsidRDefault="00C635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40A" w:rsidRDefault="0074740A" w:rsidP="007531AF">
      <w:r>
        <w:separator/>
      </w:r>
    </w:p>
  </w:footnote>
  <w:footnote w:type="continuationSeparator" w:id="0">
    <w:p w:rsidR="0074740A" w:rsidRDefault="0074740A" w:rsidP="007531AF">
      <w:r>
        <w:continuationSeparator/>
      </w:r>
    </w:p>
  </w:footnote>
  <w:footnote w:id="1">
    <w:p w:rsidR="00E049DE" w:rsidRDefault="00E049DE">
      <w:pPr>
        <w:pStyle w:val="FootnoteText"/>
      </w:pPr>
      <w:r>
        <w:rPr>
          <w:rStyle w:val="FootnoteReference"/>
        </w:rPr>
        <w:footnoteRef/>
      </w:r>
      <w:r>
        <w:t xml:space="preserve"> See “Best Practices for Pre-Screens”</w:t>
      </w:r>
      <w:r w:rsidR="00793649">
        <w:t xml:space="preserve"> (Training Power Point)</w:t>
      </w:r>
    </w:p>
  </w:footnote>
  <w:footnote w:id="2">
    <w:p w:rsidR="007531AF" w:rsidRPr="006216E5" w:rsidRDefault="000C26E1">
      <w:pPr>
        <w:pStyle w:val="FootnoteText"/>
      </w:pPr>
      <w:r w:rsidRPr="000C26E1">
        <w:rPr>
          <w:rStyle w:val="FootnoteReference"/>
        </w:rPr>
        <w:footnoteRef/>
      </w:r>
      <w:r w:rsidR="007531AF" w:rsidRPr="00E43CCC">
        <w:rPr>
          <w:sz w:val="24"/>
          <w:szCs w:val="24"/>
        </w:rPr>
        <w:t xml:space="preserve"> </w:t>
      </w:r>
      <w:r w:rsidR="007531AF" w:rsidRPr="006216E5">
        <w:t>See “</w:t>
      </w:r>
      <w:r w:rsidR="00E14F5E" w:rsidRPr="006216E5">
        <w:t>Physical Exam Guidelines for Medical CE Providers” and “Psychological Exam Guidelines for CE Providers.”</w:t>
      </w:r>
    </w:p>
  </w:footnote>
  <w:footnote w:id="3">
    <w:p w:rsidR="00733C10" w:rsidRPr="006216E5" w:rsidRDefault="00733C10">
      <w:pPr>
        <w:pStyle w:val="FootnoteText"/>
      </w:pPr>
      <w:r w:rsidRPr="006216E5">
        <w:rPr>
          <w:rStyle w:val="FootnoteReference"/>
        </w:rPr>
        <w:footnoteRef/>
      </w:r>
      <w:r w:rsidRPr="006216E5">
        <w:t xml:space="preserve"> See “CE Request Guidelines” for more detail.</w:t>
      </w:r>
    </w:p>
  </w:footnote>
  <w:footnote w:id="4">
    <w:p w:rsidR="006B0CD0" w:rsidRPr="006216E5" w:rsidRDefault="006B0CD0">
      <w:pPr>
        <w:pStyle w:val="FootnoteText"/>
      </w:pPr>
      <w:r w:rsidRPr="006216E5">
        <w:rPr>
          <w:rStyle w:val="FootnoteReference"/>
        </w:rPr>
        <w:footnoteRef/>
      </w:r>
      <w:r w:rsidRPr="006216E5">
        <w:t xml:space="preserve"> For DTA originated cases, if both medical and psychological CE’s are needed, first request the type of CE associated with the client’s primary claim of disability.  Request both CE’s simultaneously if the primary claim cannot be ascertained.  If the first CE does not result in approval, obtain the second CE.</w:t>
      </w:r>
    </w:p>
  </w:footnote>
  <w:footnote w:id="5">
    <w:p w:rsidR="00EB3372" w:rsidRPr="006216E5" w:rsidRDefault="00EB3372">
      <w:pPr>
        <w:pStyle w:val="FootnoteText"/>
      </w:pPr>
      <w:r w:rsidRPr="006216E5">
        <w:rPr>
          <w:rStyle w:val="FootnoteReference"/>
        </w:rPr>
        <w:footnoteRef/>
      </w:r>
      <w:r w:rsidRPr="006216E5">
        <w:t xml:space="preserve"> See PS</w:t>
      </w:r>
      <w:r w:rsidR="0059404B" w:rsidRPr="006216E5">
        <w:t xml:space="preserve"> 99-5</w:t>
      </w:r>
      <w:r w:rsidR="009E74D9" w:rsidRPr="006216E5">
        <w:t xml:space="preserve"> </w:t>
      </w:r>
      <w:r w:rsidR="0059404B" w:rsidRPr="006216E5">
        <w:t>”</w:t>
      </w:r>
      <w:r w:rsidR="00C717E2" w:rsidRPr="006216E5">
        <w:t xml:space="preserve"> Consultative e</w:t>
      </w:r>
      <w:r w:rsidR="0059404B" w:rsidRPr="006216E5">
        <w:t>xaminations by psychiatrists and</w:t>
      </w:r>
      <w:r w:rsidR="0059404B" w:rsidRPr="006216E5">
        <w:rPr>
          <w:b/>
        </w:rPr>
        <w:t xml:space="preserve"> </w:t>
      </w:r>
      <w:r w:rsidR="0059404B" w:rsidRPr="006216E5">
        <w:t>psychologists”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2D7"/>
    <w:multiLevelType w:val="singleLevel"/>
    <w:tmpl w:val="04090001"/>
    <w:lvl w:ilvl="0">
      <w:start w:val="1"/>
      <w:numFmt w:val="bullet"/>
      <w:lvlText w:val=""/>
      <w:lvlJc w:val="left"/>
      <w:pPr>
        <w:ind w:left="720" w:hanging="360"/>
      </w:pPr>
      <w:rPr>
        <w:rFonts w:ascii="Symbol" w:hAnsi="Symbol" w:hint="default"/>
      </w:rPr>
    </w:lvl>
  </w:abstractNum>
  <w:abstractNum w:abstractNumId="1">
    <w:nsid w:val="03AD2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CC01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353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41C5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4343E72"/>
    <w:multiLevelType w:val="hybridMultilevel"/>
    <w:tmpl w:val="A2A0722E"/>
    <w:lvl w:ilvl="0" w:tplc="943C391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3"/>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84F3C"/>
    <w:rsid w:val="00007ADF"/>
    <w:rsid w:val="00007E93"/>
    <w:rsid w:val="00051243"/>
    <w:rsid w:val="00055B1A"/>
    <w:rsid w:val="00072F63"/>
    <w:rsid w:val="00084F3C"/>
    <w:rsid w:val="000A12C5"/>
    <w:rsid w:val="000C15FB"/>
    <w:rsid w:val="000C26E1"/>
    <w:rsid w:val="000C6EE9"/>
    <w:rsid w:val="000D78B5"/>
    <w:rsid w:val="000F535B"/>
    <w:rsid w:val="00105582"/>
    <w:rsid w:val="00110F73"/>
    <w:rsid w:val="001205BA"/>
    <w:rsid w:val="00146331"/>
    <w:rsid w:val="001757DF"/>
    <w:rsid w:val="00186053"/>
    <w:rsid w:val="00230FDF"/>
    <w:rsid w:val="00281AB2"/>
    <w:rsid w:val="002821B4"/>
    <w:rsid w:val="00286AB8"/>
    <w:rsid w:val="002B1D60"/>
    <w:rsid w:val="002F5656"/>
    <w:rsid w:val="0030116A"/>
    <w:rsid w:val="00315D24"/>
    <w:rsid w:val="00332E7B"/>
    <w:rsid w:val="00334184"/>
    <w:rsid w:val="00365064"/>
    <w:rsid w:val="00371191"/>
    <w:rsid w:val="00393BFC"/>
    <w:rsid w:val="003B21D6"/>
    <w:rsid w:val="004141F5"/>
    <w:rsid w:val="00417A26"/>
    <w:rsid w:val="0043467A"/>
    <w:rsid w:val="00436C6D"/>
    <w:rsid w:val="00447B70"/>
    <w:rsid w:val="00450B5E"/>
    <w:rsid w:val="0045104F"/>
    <w:rsid w:val="00455D34"/>
    <w:rsid w:val="00460C75"/>
    <w:rsid w:val="00467D46"/>
    <w:rsid w:val="00473FFA"/>
    <w:rsid w:val="00476869"/>
    <w:rsid w:val="004B1B02"/>
    <w:rsid w:val="004B3480"/>
    <w:rsid w:val="004C590E"/>
    <w:rsid w:val="00515040"/>
    <w:rsid w:val="00533C78"/>
    <w:rsid w:val="00540F4D"/>
    <w:rsid w:val="0059404B"/>
    <w:rsid w:val="005F721E"/>
    <w:rsid w:val="006065E6"/>
    <w:rsid w:val="006216E5"/>
    <w:rsid w:val="00627758"/>
    <w:rsid w:val="006434C7"/>
    <w:rsid w:val="00656356"/>
    <w:rsid w:val="00682AA8"/>
    <w:rsid w:val="006B0CD0"/>
    <w:rsid w:val="006B59D2"/>
    <w:rsid w:val="006F7E2F"/>
    <w:rsid w:val="00721B78"/>
    <w:rsid w:val="00730FA4"/>
    <w:rsid w:val="00733C10"/>
    <w:rsid w:val="0074740A"/>
    <w:rsid w:val="007531AF"/>
    <w:rsid w:val="00793649"/>
    <w:rsid w:val="007D01D3"/>
    <w:rsid w:val="007F396F"/>
    <w:rsid w:val="0083786A"/>
    <w:rsid w:val="00851863"/>
    <w:rsid w:val="00866C67"/>
    <w:rsid w:val="00880B87"/>
    <w:rsid w:val="008900AB"/>
    <w:rsid w:val="008A0424"/>
    <w:rsid w:val="008C567D"/>
    <w:rsid w:val="008E2391"/>
    <w:rsid w:val="008F2665"/>
    <w:rsid w:val="009214C7"/>
    <w:rsid w:val="00942535"/>
    <w:rsid w:val="00951E3E"/>
    <w:rsid w:val="00974598"/>
    <w:rsid w:val="00996F6B"/>
    <w:rsid w:val="009B463C"/>
    <w:rsid w:val="009B4CF2"/>
    <w:rsid w:val="009C0151"/>
    <w:rsid w:val="009C0B32"/>
    <w:rsid w:val="009C0D56"/>
    <w:rsid w:val="009E74D9"/>
    <w:rsid w:val="009E7A9B"/>
    <w:rsid w:val="00A77036"/>
    <w:rsid w:val="00AA5F39"/>
    <w:rsid w:val="00AB6A62"/>
    <w:rsid w:val="00AE68F5"/>
    <w:rsid w:val="00AF0025"/>
    <w:rsid w:val="00AF74B2"/>
    <w:rsid w:val="00AF7837"/>
    <w:rsid w:val="00B04A53"/>
    <w:rsid w:val="00B13727"/>
    <w:rsid w:val="00B244AB"/>
    <w:rsid w:val="00B52AB6"/>
    <w:rsid w:val="00B57F9E"/>
    <w:rsid w:val="00B83B03"/>
    <w:rsid w:val="00B90987"/>
    <w:rsid w:val="00BC31FD"/>
    <w:rsid w:val="00BE3866"/>
    <w:rsid w:val="00BE43CE"/>
    <w:rsid w:val="00BE4889"/>
    <w:rsid w:val="00C00C53"/>
    <w:rsid w:val="00C05A94"/>
    <w:rsid w:val="00C26D57"/>
    <w:rsid w:val="00C6016E"/>
    <w:rsid w:val="00C63557"/>
    <w:rsid w:val="00C71464"/>
    <w:rsid w:val="00C717E2"/>
    <w:rsid w:val="00CA7907"/>
    <w:rsid w:val="00D35F42"/>
    <w:rsid w:val="00D41F35"/>
    <w:rsid w:val="00D812D4"/>
    <w:rsid w:val="00DE5AED"/>
    <w:rsid w:val="00DF2BC8"/>
    <w:rsid w:val="00E049DE"/>
    <w:rsid w:val="00E14F5E"/>
    <w:rsid w:val="00E27149"/>
    <w:rsid w:val="00E312B3"/>
    <w:rsid w:val="00E43CCC"/>
    <w:rsid w:val="00E4772C"/>
    <w:rsid w:val="00E72AB7"/>
    <w:rsid w:val="00E86E8B"/>
    <w:rsid w:val="00EB3372"/>
    <w:rsid w:val="00EB62D7"/>
    <w:rsid w:val="00EC6FD3"/>
    <w:rsid w:val="00EF019A"/>
    <w:rsid w:val="00EF190B"/>
    <w:rsid w:val="00F05309"/>
    <w:rsid w:val="00F16D70"/>
    <w:rsid w:val="00F17B43"/>
    <w:rsid w:val="00F37C42"/>
    <w:rsid w:val="00F6358D"/>
    <w:rsid w:val="00F76CC7"/>
    <w:rsid w:val="00F846AA"/>
    <w:rsid w:val="00FC0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900AB"/>
    <w:pPr>
      <w:jc w:val="center"/>
    </w:pPr>
    <w:rPr>
      <w:b/>
      <w:sz w:val="36"/>
    </w:rPr>
  </w:style>
  <w:style w:type="paragraph" w:styleId="MessageHeader">
    <w:name w:val="Message Header"/>
    <w:basedOn w:val="BodyText"/>
    <w:link w:val="MessageHeaderChar"/>
    <w:rsid w:val="00C05A94"/>
    <w:pPr>
      <w:keepLines/>
      <w:tabs>
        <w:tab w:val="left" w:pos="1560"/>
      </w:tabs>
      <w:spacing w:line="415" w:lineRule="atLeast"/>
      <w:ind w:left="1560" w:right="-360" w:hanging="720"/>
      <w:jc w:val="left"/>
    </w:pPr>
    <w:rPr>
      <w:b w:val="0"/>
      <w:sz w:val="20"/>
    </w:rPr>
  </w:style>
  <w:style w:type="character" w:customStyle="1" w:styleId="MessageHeaderChar">
    <w:name w:val="Message Header Char"/>
    <w:basedOn w:val="DefaultParagraphFont"/>
    <w:link w:val="MessageHeader"/>
    <w:rsid w:val="00C05A94"/>
  </w:style>
  <w:style w:type="paragraph" w:styleId="BalloonText">
    <w:name w:val="Balloon Text"/>
    <w:basedOn w:val="Normal"/>
    <w:link w:val="BalloonTextChar"/>
    <w:uiPriority w:val="99"/>
    <w:semiHidden/>
    <w:unhideWhenUsed/>
    <w:rsid w:val="00C05A94"/>
    <w:rPr>
      <w:rFonts w:ascii="Tahoma" w:hAnsi="Tahoma" w:cs="Tahoma"/>
      <w:sz w:val="16"/>
      <w:szCs w:val="16"/>
    </w:rPr>
  </w:style>
  <w:style w:type="character" w:customStyle="1" w:styleId="BalloonTextChar">
    <w:name w:val="Balloon Text Char"/>
    <w:basedOn w:val="DefaultParagraphFont"/>
    <w:link w:val="BalloonText"/>
    <w:uiPriority w:val="99"/>
    <w:semiHidden/>
    <w:rsid w:val="00C05A94"/>
    <w:rPr>
      <w:rFonts w:ascii="Tahoma" w:hAnsi="Tahoma" w:cs="Tahoma"/>
      <w:sz w:val="16"/>
      <w:szCs w:val="16"/>
    </w:rPr>
  </w:style>
  <w:style w:type="character" w:styleId="CommentReference">
    <w:name w:val="annotation reference"/>
    <w:basedOn w:val="DefaultParagraphFont"/>
    <w:uiPriority w:val="99"/>
    <w:semiHidden/>
    <w:unhideWhenUsed/>
    <w:rsid w:val="007D01D3"/>
    <w:rPr>
      <w:sz w:val="16"/>
      <w:szCs w:val="16"/>
    </w:rPr>
  </w:style>
  <w:style w:type="paragraph" w:styleId="CommentText">
    <w:name w:val="annotation text"/>
    <w:basedOn w:val="Normal"/>
    <w:link w:val="CommentTextChar"/>
    <w:uiPriority w:val="99"/>
    <w:semiHidden/>
    <w:unhideWhenUsed/>
    <w:rsid w:val="007D01D3"/>
  </w:style>
  <w:style w:type="character" w:customStyle="1" w:styleId="CommentTextChar">
    <w:name w:val="Comment Text Char"/>
    <w:basedOn w:val="DefaultParagraphFont"/>
    <w:link w:val="CommentText"/>
    <w:uiPriority w:val="99"/>
    <w:semiHidden/>
    <w:rsid w:val="007D01D3"/>
  </w:style>
  <w:style w:type="paragraph" w:styleId="CommentSubject">
    <w:name w:val="annotation subject"/>
    <w:basedOn w:val="CommentText"/>
    <w:next w:val="CommentText"/>
    <w:link w:val="CommentSubjectChar"/>
    <w:uiPriority w:val="99"/>
    <w:semiHidden/>
    <w:unhideWhenUsed/>
    <w:rsid w:val="007D01D3"/>
    <w:rPr>
      <w:b/>
      <w:bCs/>
    </w:rPr>
  </w:style>
  <w:style w:type="character" w:customStyle="1" w:styleId="CommentSubjectChar">
    <w:name w:val="Comment Subject Char"/>
    <w:basedOn w:val="CommentTextChar"/>
    <w:link w:val="CommentSubject"/>
    <w:uiPriority w:val="99"/>
    <w:semiHidden/>
    <w:rsid w:val="007D01D3"/>
    <w:rPr>
      <w:b/>
      <w:bCs/>
    </w:rPr>
  </w:style>
  <w:style w:type="paragraph" w:styleId="FootnoteText">
    <w:name w:val="footnote text"/>
    <w:basedOn w:val="Normal"/>
    <w:link w:val="FootnoteTextChar"/>
    <w:uiPriority w:val="99"/>
    <w:semiHidden/>
    <w:unhideWhenUsed/>
    <w:rsid w:val="007531AF"/>
  </w:style>
  <w:style w:type="character" w:customStyle="1" w:styleId="FootnoteTextChar">
    <w:name w:val="Footnote Text Char"/>
    <w:basedOn w:val="DefaultParagraphFont"/>
    <w:link w:val="FootnoteText"/>
    <w:uiPriority w:val="99"/>
    <w:semiHidden/>
    <w:rsid w:val="007531AF"/>
  </w:style>
  <w:style w:type="character" w:styleId="FootnoteReference">
    <w:name w:val="footnote reference"/>
    <w:basedOn w:val="DefaultParagraphFont"/>
    <w:unhideWhenUsed/>
    <w:rsid w:val="007531AF"/>
    <w:rPr>
      <w:vertAlign w:val="superscript"/>
    </w:rPr>
  </w:style>
  <w:style w:type="paragraph" w:styleId="Header">
    <w:name w:val="header"/>
    <w:basedOn w:val="Normal"/>
    <w:link w:val="HeaderChar"/>
    <w:uiPriority w:val="99"/>
    <w:semiHidden/>
    <w:unhideWhenUsed/>
    <w:rsid w:val="00C63557"/>
    <w:pPr>
      <w:tabs>
        <w:tab w:val="center" w:pos="4680"/>
        <w:tab w:val="right" w:pos="9360"/>
      </w:tabs>
    </w:pPr>
  </w:style>
  <w:style w:type="character" w:customStyle="1" w:styleId="HeaderChar">
    <w:name w:val="Header Char"/>
    <w:basedOn w:val="DefaultParagraphFont"/>
    <w:link w:val="Header"/>
    <w:uiPriority w:val="99"/>
    <w:semiHidden/>
    <w:rsid w:val="00C63557"/>
  </w:style>
  <w:style w:type="paragraph" w:styleId="Footer">
    <w:name w:val="footer"/>
    <w:basedOn w:val="Normal"/>
    <w:link w:val="FooterChar"/>
    <w:uiPriority w:val="99"/>
    <w:unhideWhenUsed/>
    <w:rsid w:val="00C63557"/>
    <w:pPr>
      <w:tabs>
        <w:tab w:val="center" w:pos="4680"/>
        <w:tab w:val="right" w:pos="9360"/>
      </w:tabs>
    </w:pPr>
  </w:style>
  <w:style w:type="character" w:customStyle="1" w:styleId="FooterChar">
    <w:name w:val="Footer Char"/>
    <w:basedOn w:val="DefaultParagraphFont"/>
    <w:link w:val="Footer"/>
    <w:uiPriority w:val="99"/>
    <w:rsid w:val="00C635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50AB1-8BD0-4AC8-AE71-BD03A905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UMassMed</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umass</cp:lastModifiedBy>
  <cp:revision>2</cp:revision>
  <cp:lastPrinted>2000-05-30T13:24:00Z</cp:lastPrinted>
  <dcterms:created xsi:type="dcterms:W3CDTF">2011-12-01T16:23:00Z</dcterms:created>
  <dcterms:modified xsi:type="dcterms:W3CDTF">2011-12-01T16:23:00Z</dcterms:modified>
</cp:coreProperties>
</file>